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E58" w:rsidRPr="00C80EC5" w:rsidRDefault="00F37E58" w:rsidP="007D70F8">
      <w:pPr>
        <w:spacing w:line="480" w:lineRule="auto"/>
        <w:ind w:left="0"/>
        <w:jc w:val="both"/>
      </w:pPr>
    </w:p>
    <w:p w:rsidR="008C27AC" w:rsidRPr="00C80EC5" w:rsidRDefault="008C27AC" w:rsidP="008C27AC">
      <w:pPr>
        <w:pStyle w:val="Overskrift5"/>
        <w:spacing w:line="480" w:lineRule="auto"/>
        <w:ind w:left="0"/>
        <w:jc w:val="both"/>
        <w:rPr>
          <w:rStyle w:val="Svagfremhvning"/>
          <w:color w:val="365F91" w:themeColor="accent1" w:themeShade="BF"/>
        </w:rPr>
      </w:pPr>
      <w:r w:rsidRPr="00C80EC5">
        <w:rPr>
          <w:rStyle w:val="Svagfremhvning"/>
          <w:color w:val="365F91" w:themeColor="accent1" w:themeShade="BF"/>
        </w:rPr>
        <w:t>Educated tastes: Resume</w:t>
      </w:r>
    </w:p>
    <w:p w:rsidR="000C20F2" w:rsidRDefault="00E01726" w:rsidP="007D70F8">
      <w:pPr>
        <w:spacing w:line="480" w:lineRule="auto"/>
        <w:ind w:left="0"/>
        <w:jc w:val="both"/>
        <w:rPr>
          <w:i/>
        </w:rPr>
      </w:pPr>
      <w:r>
        <w:rPr>
          <w:i/>
        </w:rPr>
        <w:t>This paper</w:t>
      </w:r>
      <w:r w:rsidR="005A403D">
        <w:rPr>
          <w:i/>
        </w:rPr>
        <w:t xml:space="preserve"> explores taste in the context of phenomenology and outlines possibilities for situating a phenomenological approach to taste within the framework of educational theory. </w:t>
      </w:r>
      <w:r w:rsidR="000C20F2">
        <w:rPr>
          <w:i/>
        </w:rPr>
        <w:t>In such an approach, taste emerges as a complex interaction between all senses</w:t>
      </w:r>
      <w:r w:rsidR="00084090">
        <w:rPr>
          <w:i/>
        </w:rPr>
        <w:t xml:space="preserve"> and as interplay between recollection and anticipation.</w:t>
      </w:r>
      <w:r w:rsidR="00084090" w:rsidRPr="00C80EC5">
        <w:t xml:space="preserve"> </w:t>
      </w:r>
      <w:r w:rsidR="00084090">
        <w:rPr>
          <w:i/>
        </w:rPr>
        <w:t xml:space="preserve">In this respect, taste-experience is </w:t>
      </w:r>
      <w:r w:rsidR="00084090" w:rsidRPr="00084090">
        <w:rPr>
          <w:i/>
        </w:rPr>
        <w:t>indicative of a privileged but hitherto relatively unexplored access to cognition</w:t>
      </w:r>
      <w:r w:rsidR="00084090">
        <w:rPr>
          <w:i/>
        </w:rPr>
        <w:t>. It is a sensory encounter that encompasses possibilities for learning, not only about taste but also about other subjects through taste.</w:t>
      </w:r>
    </w:p>
    <w:p w:rsidR="008E5170" w:rsidRPr="008E5170" w:rsidRDefault="008E5170" w:rsidP="007D70F8">
      <w:pPr>
        <w:spacing w:line="480" w:lineRule="auto"/>
        <w:ind w:left="0"/>
        <w:jc w:val="both"/>
      </w:pPr>
      <w:r>
        <w:t xml:space="preserve">Keywords: taste, phenomenology, </w:t>
      </w:r>
      <w:proofErr w:type="spellStart"/>
      <w:r>
        <w:t>Merleau-Ponty</w:t>
      </w:r>
      <w:proofErr w:type="spellEnd"/>
      <w:r>
        <w:t>, Dewey, aesthetic learning-processes</w:t>
      </w:r>
    </w:p>
    <w:p w:rsidR="008C27AC" w:rsidRDefault="008C27AC" w:rsidP="007D70F8">
      <w:pPr>
        <w:spacing w:line="480" w:lineRule="auto"/>
        <w:ind w:left="0"/>
        <w:jc w:val="both"/>
      </w:pPr>
    </w:p>
    <w:p w:rsidR="00BC4173" w:rsidRPr="00C80EC5" w:rsidRDefault="00BC4173" w:rsidP="007D70F8">
      <w:pPr>
        <w:spacing w:line="480" w:lineRule="auto"/>
        <w:ind w:left="0"/>
        <w:jc w:val="both"/>
      </w:pPr>
    </w:p>
    <w:p w:rsidR="008C27AC" w:rsidRPr="00C80EC5" w:rsidRDefault="008C27AC" w:rsidP="008C27AC">
      <w:pPr>
        <w:pStyle w:val="Overskrift7"/>
        <w:ind w:left="0"/>
        <w:rPr>
          <w:rStyle w:val="Fremhv"/>
          <w:b/>
          <w:bCs/>
          <w:smallCaps/>
          <w:color w:val="365F91" w:themeColor="accent1" w:themeShade="BF"/>
          <w:sz w:val="28"/>
          <w:szCs w:val="28"/>
        </w:rPr>
      </w:pPr>
      <w:r w:rsidRPr="00C80EC5">
        <w:rPr>
          <w:sz w:val="28"/>
          <w:szCs w:val="28"/>
        </w:rPr>
        <w:t>Educated tastes</w:t>
      </w:r>
    </w:p>
    <w:p w:rsidR="00B67218" w:rsidRPr="00C80EC5" w:rsidRDefault="00B67218" w:rsidP="007D70F8">
      <w:pPr>
        <w:spacing w:line="480" w:lineRule="auto"/>
        <w:ind w:left="0"/>
        <w:jc w:val="both"/>
        <w:rPr>
          <w:sz w:val="16"/>
          <w:szCs w:val="16"/>
        </w:rPr>
      </w:pPr>
    </w:p>
    <w:p w:rsidR="001A7232" w:rsidRDefault="008904D9" w:rsidP="007D70F8">
      <w:pPr>
        <w:spacing w:line="480" w:lineRule="auto"/>
        <w:ind w:left="0"/>
        <w:jc w:val="both"/>
      </w:pPr>
      <w:r w:rsidRPr="00C80EC5">
        <w:t>“[…] the central problem of an education based on experience is to select the kind of present experience that live</w:t>
      </w:r>
      <w:r w:rsidR="00921423" w:rsidRPr="00C80EC5">
        <w:t>s</w:t>
      </w:r>
      <w:r w:rsidRPr="00C80EC5">
        <w:t xml:space="preserve"> fruitfully and creatively in subsequent experiences”</w:t>
      </w:r>
      <w:r w:rsidR="008A3F1F">
        <w:t>.</w:t>
      </w:r>
      <w:r w:rsidR="009E2590">
        <w:rPr>
          <w:rStyle w:val="Fodnotehenvisning"/>
        </w:rPr>
        <w:footnoteReference w:id="1"/>
      </w:r>
      <w:r w:rsidR="00921423" w:rsidRPr="00C80EC5">
        <w:t xml:space="preserve"> With this phrase, </w:t>
      </w:r>
      <w:r w:rsidR="009E63C8" w:rsidRPr="00C80EC5">
        <w:t xml:space="preserve">John </w:t>
      </w:r>
      <w:r w:rsidR="00921423" w:rsidRPr="00C80EC5">
        <w:t>Dewey pinpoints that the employment of experience in education is more than</w:t>
      </w:r>
      <w:r w:rsidR="00BA0F84" w:rsidRPr="00C80EC5">
        <w:t xml:space="preserve"> the use of enjoyable distractions providing transient moments of pleasure. Experience, in the context of education, must be selected in a way that provides opportunities for</w:t>
      </w:r>
      <w:r w:rsidR="00B763F3" w:rsidRPr="00C80EC5">
        <w:t xml:space="preserve"> expanding the horizon of the pupils</w:t>
      </w:r>
      <w:r w:rsidR="00222014" w:rsidRPr="00C80EC5">
        <w:t xml:space="preserve"> and initiates incentives for growth</w:t>
      </w:r>
      <w:r w:rsidR="00FA33ED" w:rsidRPr="00C80EC5">
        <w:t>.</w:t>
      </w:r>
      <w:r w:rsidR="008A3F1F">
        <w:rPr>
          <w:rStyle w:val="Fodnotehenvisning"/>
        </w:rPr>
        <w:footnoteReference w:id="2"/>
      </w:r>
      <w:r w:rsidR="00FA33ED" w:rsidRPr="00C80EC5">
        <w:t xml:space="preserve"> The question that inevitably arise</w:t>
      </w:r>
      <w:r w:rsidR="00AE655A" w:rsidRPr="00C80EC5">
        <w:t>s</w:t>
      </w:r>
      <w:r w:rsidR="00B76D56" w:rsidRPr="00C80EC5">
        <w:t xml:space="preserve"> out of this context</w:t>
      </w:r>
      <w:r w:rsidR="00AE655A" w:rsidRPr="00C80EC5">
        <w:t xml:space="preserve"> is</w:t>
      </w:r>
      <w:r w:rsidR="001A7232">
        <w:t xml:space="preserve"> which experiences fulfil</w:t>
      </w:r>
      <w:r w:rsidR="00B76D56" w:rsidRPr="00C80EC5">
        <w:t xml:space="preserve"> the outlined</w:t>
      </w:r>
      <w:r w:rsidR="00FA33ED" w:rsidRPr="00C80EC5">
        <w:t xml:space="preserve"> requirement. </w:t>
      </w:r>
    </w:p>
    <w:p w:rsidR="00686362" w:rsidRDefault="00BE27F5" w:rsidP="007D70F8">
      <w:pPr>
        <w:spacing w:line="480" w:lineRule="auto"/>
        <w:ind w:left="0"/>
        <w:jc w:val="both"/>
      </w:pPr>
      <w:r>
        <w:t xml:space="preserve">Dewey is not particularly clear in this regard. </w:t>
      </w:r>
      <w:r w:rsidR="001A7232">
        <w:t xml:space="preserve">From an overall perspective, </w:t>
      </w:r>
      <w:r w:rsidR="00686362">
        <w:t>the critique of the separation between thinking and experiencing in traditional education forms a focal point. This critique results in an insistence upon experience as a basis for thinking</w:t>
      </w:r>
      <w:r w:rsidR="008A3F1F">
        <w:rPr>
          <w:rStyle w:val="Fodnotehenvisning"/>
        </w:rPr>
        <w:footnoteReference w:id="3"/>
      </w:r>
      <w:r w:rsidR="00686362">
        <w:t xml:space="preserve"> and the importance of experience in order to shape meaning</w:t>
      </w:r>
      <w:r w:rsidR="008A3F1F">
        <w:rPr>
          <w:rStyle w:val="Fodnotehenvisning"/>
        </w:rPr>
        <w:footnoteReference w:id="4"/>
      </w:r>
      <w:r w:rsidR="00686362">
        <w:t>.</w:t>
      </w:r>
      <w:r w:rsidR="00686362" w:rsidRPr="00686362">
        <w:t xml:space="preserve"> </w:t>
      </w:r>
      <w:r w:rsidR="00686362">
        <w:t xml:space="preserve">Such experience is not confined to a narrow conception of sensory impressions caused by the </w:t>
      </w:r>
      <w:r w:rsidR="00686362">
        <w:lastRenderedPageBreak/>
        <w:t>material world</w:t>
      </w:r>
      <w:r w:rsidR="00220F67">
        <w:rPr>
          <w:rStyle w:val="Fodnotehenvisning"/>
        </w:rPr>
        <w:footnoteReference w:id="5"/>
      </w:r>
      <w:r w:rsidR="00686362">
        <w:t xml:space="preserve">, but points towards bodily </w:t>
      </w:r>
      <w:proofErr w:type="spellStart"/>
      <w:r w:rsidR="00686362">
        <w:t>embeddedness</w:t>
      </w:r>
      <w:proofErr w:type="spellEnd"/>
      <w:r w:rsidR="00686362">
        <w:t xml:space="preserve"> or tacit knowledge that is acquired through continuous trials and subsequent adjustments cumulating into the formation of richer experience</w:t>
      </w:r>
      <w:r w:rsidR="00220F67">
        <w:rPr>
          <w:rStyle w:val="Fodnotehenvisning"/>
        </w:rPr>
        <w:footnoteReference w:id="6"/>
      </w:r>
      <w:r w:rsidR="00686362">
        <w:t xml:space="preserve">. In Dewey’s words, it is </w:t>
      </w:r>
      <w:r w:rsidR="002E7269" w:rsidRPr="00C80EC5">
        <w:t>a process of doing and undergoing</w:t>
      </w:r>
      <w:r w:rsidR="00DE21C0">
        <w:t xml:space="preserve"> in</w:t>
      </w:r>
      <w:r w:rsidR="0011747D">
        <w:t xml:space="preserve"> terms </w:t>
      </w:r>
      <w:r w:rsidR="00DE21C0">
        <w:t>of interplay between passive reception and active trying</w:t>
      </w:r>
      <w:r w:rsidR="00220F67">
        <w:rPr>
          <w:rStyle w:val="Fodnotehenvisning"/>
        </w:rPr>
        <w:footnoteReference w:id="7"/>
      </w:r>
      <w:r w:rsidR="00DE21C0">
        <w:t xml:space="preserve">. </w:t>
      </w:r>
      <w:proofErr w:type="gramStart"/>
      <w:r w:rsidR="00DE21C0">
        <w:t>A process that</w:t>
      </w:r>
      <w:r w:rsidR="00686362">
        <w:t xml:space="preserve"> is meant to</w:t>
      </w:r>
      <w:r w:rsidR="002E7269" w:rsidRPr="00C80EC5">
        <w:t xml:space="preserve"> foster action </w:t>
      </w:r>
      <w:r w:rsidR="00C72143" w:rsidRPr="00C80EC5">
        <w:t>that must</w:t>
      </w:r>
      <w:r w:rsidR="00C715D6" w:rsidRPr="00C80EC5">
        <w:t xml:space="preserve"> then</w:t>
      </w:r>
      <w:r w:rsidR="00C72143" w:rsidRPr="00C80EC5">
        <w:t xml:space="preserve"> consciously b</w:t>
      </w:r>
      <w:r w:rsidR="00DE21C0">
        <w:t>e connected to consequence</w:t>
      </w:r>
      <w:r w:rsidR="008508DF" w:rsidRPr="00C80EC5">
        <w:t>.</w:t>
      </w:r>
      <w:proofErr w:type="gramEnd"/>
      <w:r>
        <w:t xml:space="preserve"> It seems, h</w:t>
      </w:r>
      <w:r w:rsidR="00F22EA3" w:rsidRPr="00C80EC5">
        <w:t xml:space="preserve">ence, </w:t>
      </w:r>
      <w:r>
        <w:t xml:space="preserve">that </w:t>
      </w:r>
      <w:r w:rsidR="00473548">
        <w:t xml:space="preserve">the employment of </w:t>
      </w:r>
      <w:r w:rsidR="00F22EA3" w:rsidRPr="00C80EC5">
        <w:t>experience</w:t>
      </w:r>
      <w:r w:rsidR="00473548">
        <w:t xml:space="preserve"> in education</w:t>
      </w:r>
      <w:r w:rsidR="00F22EA3" w:rsidRPr="00C80EC5">
        <w:t xml:space="preserve"> is</w:t>
      </w:r>
      <w:r w:rsidR="00473548">
        <w:t xml:space="preserve"> supposed to create</w:t>
      </w:r>
      <w:r w:rsidR="00F22EA3" w:rsidRPr="00C80EC5">
        <w:t xml:space="preserve"> encounter</w:t>
      </w:r>
      <w:r w:rsidR="00473548">
        <w:t>s</w:t>
      </w:r>
      <w:r w:rsidR="00F22EA3" w:rsidRPr="00C80EC5">
        <w:t xml:space="preserve"> with the world through which the pupil </w:t>
      </w:r>
      <w:r w:rsidR="00C715D6" w:rsidRPr="00C80EC5">
        <w:t xml:space="preserve">is encouraged to </w:t>
      </w:r>
      <w:r w:rsidR="00F22EA3" w:rsidRPr="00C80EC5">
        <w:t>discover the connection between</w:t>
      </w:r>
      <w:r w:rsidR="002E7269" w:rsidRPr="00C80EC5">
        <w:t xml:space="preserve"> </w:t>
      </w:r>
      <w:r w:rsidR="00F22EA3" w:rsidRPr="00C80EC5">
        <w:t>things</w:t>
      </w:r>
      <w:r w:rsidR="00950839" w:rsidRPr="00C80EC5">
        <w:t>.</w:t>
      </w:r>
      <w:r w:rsidR="00473548">
        <w:t xml:space="preserve"> </w:t>
      </w:r>
      <w:proofErr w:type="gramStart"/>
      <w:r w:rsidR="00473548">
        <w:t>E</w:t>
      </w:r>
      <w:r w:rsidR="00C527E4" w:rsidRPr="00C80EC5">
        <w:t>ncounter</w:t>
      </w:r>
      <w:r w:rsidR="00473548">
        <w:t>s</w:t>
      </w:r>
      <w:r w:rsidR="00C527E4" w:rsidRPr="00C80EC5">
        <w:t xml:space="preserve"> with an inherent capacity for movement and change</w:t>
      </w:r>
      <w:r w:rsidR="00C32A59" w:rsidRPr="00C80EC5">
        <w:t>,</w:t>
      </w:r>
      <w:r w:rsidR="00C527E4" w:rsidRPr="00C80EC5">
        <w:t xml:space="preserve"> thus opening the mind and foster</w:t>
      </w:r>
      <w:r w:rsidR="00C32A59" w:rsidRPr="00C80EC5">
        <w:t>ing curio</w:t>
      </w:r>
      <w:r w:rsidR="00C527E4" w:rsidRPr="00C80EC5">
        <w:t>sity.</w:t>
      </w:r>
      <w:proofErr w:type="gramEnd"/>
      <w:r w:rsidR="001D3FC0">
        <w:rPr>
          <w:rStyle w:val="Fodnotehenvisning"/>
        </w:rPr>
        <w:footnoteReference w:id="8"/>
      </w:r>
      <w:r w:rsidR="003E6762">
        <w:t xml:space="preserve"> </w:t>
      </w:r>
      <w:r w:rsidR="00686362">
        <w:t xml:space="preserve">Even if </w:t>
      </w:r>
      <w:r w:rsidR="0097643A">
        <w:t>such experience seems inescapably to be based on sensory impressions, the employment of the senses is largely left in the margins</w:t>
      </w:r>
      <w:r w:rsidR="008C71D9">
        <w:t xml:space="preserve"> by Dewey</w:t>
      </w:r>
      <w:r w:rsidR="0097643A">
        <w:t xml:space="preserve">. </w:t>
      </w:r>
      <w:r w:rsidR="003731E0">
        <w:t>Sensory experience is</w:t>
      </w:r>
      <w:r w:rsidR="005B4BD2">
        <w:t xml:space="preserve"> acknowledged as a means to</w:t>
      </w:r>
      <w:r w:rsidR="00E22FD1">
        <w:t xml:space="preserve"> form</w:t>
      </w:r>
      <w:r w:rsidR="005B4BD2">
        <w:t xml:space="preserve"> impre</w:t>
      </w:r>
      <w:r w:rsidR="00934FD9">
        <w:t>ssions of colour, shape, texture, taste</w:t>
      </w:r>
      <w:r w:rsidR="005B4BD2">
        <w:t xml:space="preserve"> and other sensory qualities, but is seen as insufficient in order to acquire knowledge of the meaning of things.</w:t>
      </w:r>
      <w:r w:rsidR="00007A60">
        <w:rPr>
          <w:rStyle w:val="Fodnotehenvisning"/>
        </w:rPr>
        <w:footnoteReference w:id="9"/>
      </w:r>
      <w:r w:rsidR="00700B1C">
        <w:t xml:space="preserve"> </w:t>
      </w:r>
    </w:p>
    <w:p w:rsidR="00D614AD" w:rsidRPr="00C80EC5" w:rsidRDefault="00934FD9" w:rsidP="007D70F8">
      <w:pPr>
        <w:spacing w:line="480" w:lineRule="auto"/>
        <w:ind w:left="0"/>
        <w:jc w:val="both"/>
      </w:pPr>
      <w:r>
        <w:t>The idea of sensory experience</w:t>
      </w:r>
      <w:r w:rsidR="0009591B" w:rsidRPr="00C80EC5">
        <w:t xml:space="preserve"> as influential on the motivation for </w:t>
      </w:r>
      <w:r w:rsidR="00FA1C8A" w:rsidRPr="00C80EC5">
        <w:t xml:space="preserve">exploring and </w:t>
      </w:r>
      <w:r w:rsidR="0009591B" w:rsidRPr="00C80EC5">
        <w:t>learning is</w:t>
      </w:r>
      <w:r>
        <w:t>, however,</w:t>
      </w:r>
      <w:r w:rsidR="0009591B" w:rsidRPr="00C80EC5">
        <w:t xml:space="preserve"> widely employed in schools.</w:t>
      </w:r>
      <w:r w:rsidR="001A7232">
        <w:t xml:space="preserve"> </w:t>
      </w:r>
      <w:r>
        <w:t>E</w:t>
      </w:r>
      <w:r w:rsidR="006F1FED" w:rsidRPr="00C80EC5">
        <w:t xml:space="preserve">xperience through sight, hearing or tactility has been used in various subjects as approaches to </w:t>
      </w:r>
      <w:r w:rsidR="006F1FED" w:rsidRPr="00C80EC5">
        <w:rPr>
          <w:color w:val="595959" w:themeColor="text1" w:themeTint="A6"/>
        </w:rPr>
        <w:t>works of art, dramatic narratives or physical objects such as utensils from past centuries</w:t>
      </w:r>
      <w:r w:rsidR="001F46CC">
        <w:rPr>
          <w:rStyle w:val="Fodnotehenvisning"/>
          <w:color w:val="595959" w:themeColor="text1" w:themeTint="A6"/>
        </w:rPr>
        <w:footnoteReference w:id="10"/>
      </w:r>
      <w:r w:rsidR="006F1FED" w:rsidRPr="00C80EC5">
        <w:rPr>
          <w:color w:val="595959" w:themeColor="text1" w:themeTint="A6"/>
        </w:rPr>
        <w:t xml:space="preserve"> with the purpose of awakening curiosity and </w:t>
      </w:r>
      <w:r w:rsidR="001D3FB1" w:rsidRPr="00C80EC5">
        <w:rPr>
          <w:color w:val="595959" w:themeColor="text1" w:themeTint="A6"/>
        </w:rPr>
        <w:t xml:space="preserve">thereby </w:t>
      </w:r>
      <w:r w:rsidR="006F1FED" w:rsidRPr="00C80EC5">
        <w:rPr>
          <w:color w:val="595959" w:themeColor="text1" w:themeTint="A6"/>
        </w:rPr>
        <w:t>encouraging learning by means of surprise, appeal or provocation</w:t>
      </w:r>
      <w:r w:rsidR="00BE3DF8" w:rsidRPr="00C80EC5">
        <w:rPr>
          <w:color w:val="595959" w:themeColor="text1" w:themeTint="A6"/>
        </w:rPr>
        <w:t>.</w:t>
      </w:r>
      <w:r w:rsidR="00FA33ED" w:rsidRPr="00C80EC5">
        <w:rPr>
          <w:color w:val="595959" w:themeColor="text1" w:themeTint="A6"/>
        </w:rPr>
        <w:t xml:space="preserve"> </w:t>
      </w:r>
      <w:r w:rsidR="009E63C8" w:rsidRPr="00C80EC5">
        <w:rPr>
          <w:color w:val="595959" w:themeColor="text1" w:themeTint="A6"/>
        </w:rPr>
        <w:t xml:space="preserve">Smell </w:t>
      </w:r>
      <w:r w:rsidR="009770FF" w:rsidRPr="00C80EC5">
        <w:rPr>
          <w:color w:val="595959" w:themeColor="text1" w:themeTint="A6"/>
        </w:rPr>
        <w:t>and taste</w:t>
      </w:r>
      <w:r w:rsidR="004D7592" w:rsidRPr="00C80EC5">
        <w:rPr>
          <w:color w:val="595959" w:themeColor="text1" w:themeTint="A6"/>
        </w:rPr>
        <w:t>, however,</w:t>
      </w:r>
      <w:r w:rsidR="009770FF" w:rsidRPr="00C80EC5">
        <w:rPr>
          <w:color w:val="595959" w:themeColor="text1" w:themeTint="A6"/>
        </w:rPr>
        <w:t xml:space="preserve"> seem </w:t>
      </w:r>
      <w:r w:rsidR="00C87ABA" w:rsidRPr="00C80EC5">
        <w:rPr>
          <w:color w:val="595959" w:themeColor="text1" w:themeTint="A6"/>
        </w:rPr>
        <w:t>seldom to transcend</w:t>
      </w:r>
      <w:r w:rsidR="00C87ABA" w:rsidRPr="00C80EC5">
        <w:rPr>
          <w:color w:val="FF0000"/>
        </w:rPr>
        <w:t xml:space="preserve"> </w:t>
      </w:r>
      <w:r w:rsidR="00C87ABA" w:rsidRPr="00C80EC5">
        <w:rPr>
          <w:color w:val="595959" w:themeColor="text1" w:themeTint="A6"/>
        </w:rPr>
        <w:t>the</w:t>
      </w:r>
      <w:r w:rsidR="009770FF" w:rsidRPr="00C80EC5">
        <w:rPr>
          <w:color w:val="595959" w:themeColor="text1" w:themeTint="A6"/>
        </w:rPr>
        <w:t xml:space="preserve"> </w:t>
      </w:r>
      <w:r w:rsidR="00CD3828" w:rsidRPr="00C80EC5">
        <w:rPr>
          <w:color w:val="595959" w:themeColor="text1" w:themeTint="A6"/>
        </w:rPr>
        <w:t xml:space="preserve">function as </w:t>
      </w:r>
      <w:r>
        <w:rPr>
          <w:color w:val="595959" w:themeColor="text1" w:themeTint="A6"/>
        </w:rPr>
        <w:t>sensory</w:t>
      </w:r>
      <w:r w:rsidR="00CD3828" w:rsidRPr="00C80EC5">
        <w:rPr>
          <w:color w:val="595959" w:themeColor="text1" w:themeTint="A6"/>
        </w:rPr>
        <w:t xml:space="preserve"> stimuli in classes involving cooking. T</w:t>
      </w:r>
      <w:r w:rsidR="004D7592" w:rsidRPr="00C80EC5">
        <w:rPr>
          <w:color w:val="595959" w:themeColor="text1" w:themeTint="A6"/>
        </w:rPr>
        <w:t>his relatively narrow focus may conceal possibilities for employing taste in the wider context of educational activities</w:t>
      </w:r>
      <w:r w:rsidR="0000305A" w:rsidRPr="00C80EC5">
        <w:rPr>
          <w:color w:val="595959" w:themeColor="text1" w:themeTint="A6"/>
        </w:rPr>
        <w:t xml:space="preserve">. Taste is much more than the transient experience through which we can distinguish the five basic tastes: sweet, sour, salty, bitter and umami. And, it is more than </w:t>
      </w:r>
      <w:r w:rsidR="003F0085" w:rsidRPr="00C80EC5">
        <w:rPr>
          <w:color w:val="595959" w:themeColor="text1" w:themeTint="A6"/>
        </w:rPr>
        <w:t>a capacity for expressing likes and dislikes or a differentiating concept with the capacity for separating ‘good taste’ from ‘bad taste’. Taste</w:t>
      </w:r>
      <w:r w:rsidR="00911146" w:rsidRPr="00C80EC5">
        <w:rPr>
          <w:color w:val="595959" w:themeColor="text1" w:themeTint="A6"/>
        </w:rPr>
        <w:t xml:space="preserve"> is </w:t>
      </w:r>
      <w:r w:rsidR="009D5475" w:rsidRPr="00C80EC5">
        <w:rPr>
          <w:color w:val="595959" w:themeColor="text1" w:themeTint="A6"/>
        </w:rPr>
        <w:t xml:space="preserve">a </w:t>
      </w:r>
      <w:r w:rsidR="00D3328A" w:rsidRPr="00C80EC5">
        <w:rPr>
          <w:color w:val="595959" w:themeColor="text1" w:themeTint="A6"/>
        </w:rPr>
        <w:t>way of experienc</w:t>
      </w:r>
      <w:r w:rsidR="009D5475" w:rsidRPr="00C80EC5">
        <w:rPr>
          <w:color w:val="595959" w:themeColor="text1" w:themeTint="A6"/>
        </w:rPr>
        <w:t xml:space="preserve">ing our environment that offers </w:t>
      </w:r>
      <w:r w:rsidR="00DE7BA9" w:rsidRPr="00C80EC5">
        <w:rPr>
          <w:color w:val="595959" w:themeColor="text1" w:themeTint="A6"/>
        </w:rPr>
        <w:t>a unique approach to learning</w:t>
      </w:r>
      <w:r w:rsidR="009D5475" w:rsidRPr="00C80EC5">
        <w:rPr>
          <w:color w:val="595959" w:themeColor="text1" w:themeTint="A6"/>
        </w:rPr>
        <w:t>, not only</w:t>
      </w:r>
      <w:r w:rsidR="00DE7BA9" w:rsidRPr="00C80EC5">
        <w:rPr>
          <w:color w:val="595959" w:themeColor="text1" w:themeTint="A6"/>
        </w:rPr>
        <w:t xml:space="preserve"> about</w:t>
      </w:r>
      <w:r w:rsidR="00F72EDC" w:rsidRPr="00C80EC5">
        <w:rPr>
          <w:color w:val="595959" w:themeColor="text1" w:themeTint="A6"/>
        </w:rPr>
        <w:t xml:space="preserve"> taste in terms of</w:t>
      </w:r>
      <w:r w:rsidR="009D5475" w:rsidRPr="00C80EC5">
        <w:rPr>
          <w:color w:val="595959" w:themeColor="text1" w:themeTint="A6"/>
        </w:rPr>
        <w:t xml:space="preserve"> t</w:t>
      </w:r>
      <w:r w:rsidR="00D3328A" w:rsidRPr="00C80EC5">
        <w:rPr>
          <w:color w:val="595959" w:themeColor="text1" w:themeTint="A6"/>
        </w:rPr>
        <w:t>he corporal encounter</w:t>
      </w:r>
      <w:r w:rsidR="009D5475" w:rsidRPr="00C80EC5">
        <w:rPr>
          <w:color w:val="595959" w:themeColor="text1" w:themeTint="A6"/>
        </w:rPr>
        <w:t xml:space="preserve"> with edible goods, but also about other subjects</w:t>
      </w:r>
      <w:r w:rsidR="00DE7BA9" w:rsidRPr="00C80EC5">
        <w:rPr>
          <w:color w:val="595959" w:themeColor="text1" w:themeTint="A6"/>
        </w:rPr>
        <w:t xml:space="preserve"> through t</w:t>
      </w:r>
      <w:r w:rsidR="009D5475" w:rsidRPr="00C80EC5">
        <w:rPr>
          <w:color w:val="595959" w:themeColor="text1" w:themeTint="A6"/>
        </w:rPr>
        <w:t>aste</w:t>
      </w:r>
      <w:r w:rsidR="00A61EBD" w:rsidRPr="00C80EC5">
        <w:rPr>
          <w:color w:val="595959" w:themeColor="text1" w:themeTint="A6"/>
        </w:rPr>
        <w:t>.</w:t>
      </w:r>
      <w:r w:rsidR="00D614AD" w:rsidRPr="00C80EC5">
        <w:rPr>
          <w:color w:val="595959" w:themeColor="text1" w:themeTint="A6"/>
        </w:rPr>
        <w:t xml:space="preserve"> </w:t>
      </w:r>
    </w:p>
    <w:p w:rsidR="00A71ED7" w:rsidRDefault="003B670E" w:rsidP="0091490B">
      <w:pPr>
        <w:spacing w:line="480" w:lineRule="auto"/>
        <w:ind w:left="0"/>
        <w:jc w:val="both"/>
        <w:rPr>
          <w:color w:val="595959" w:themeColor="text1" w:themeTint="A6"/>
        </w:rPr>
      </w:pPr>
      <w:r w:rsidRPr="00C80EC5">
        <w:rPr>
          <w:color w:val="595959" w:themeColor="text1" w:themeTint="A6"/>
        </w:rPr>
        <w:t>This may seem a rather eccentric note</w:t>
      </w:r>
      <w:r w:rsidR="0003736A" w:rsidRPr="00C80EC5">
        <w:rPr>
          <w:color w:val="595959" w:themeColor="text1" w:themeTint="A6"/>
        </w:rPr>
        <w:t xml:space="preserve"> given the </w:t>
      </w:r>
      <w:r w:rsidR="00812D58" w:rsidRPr="00C80EC5">
        <w:rPr>
          <w:color w:val="595959" w:themeColor="text1" w:themeTint="A6"/>
        </w:rPr>
        <w:t xml:space="preserve">marginalised position of taste in the context of cognition throughout the history of philosophy. Not only taste, but sensory experience as a whole has been </w:t>
      </w:r>
      <w:r w:rsidR="003A5196" w:rsidRPr="00C80EC5">
        <w:rPr>
          <w:color w:val="595959" w:themeColor="text1" w:themeTint="A6"/>
        </w:rPr>
        <w:t>questioned</w:t>
      </w:r>
      <w:r w:rsidR="00812D58" w:rsidRPr="00C80EC5">
        <w:rPr>
          <w:color w:val="595959" w:themeColor="text1" w:themeTint="A6"/>
        </w:rPr>
        <w:t xml:space="preserve">. </w:t>
      </w:r>
      <w:r w:rsidR="003A5196" w:rsidRPr="00C80EC5">
        <w:rPr>
          <w:color w:val="595959" w:themeColor="text1" w:themeTint="A6"/>
        </w:rPr>
        <w:lastRenderedPageBreak/>
        <w:t xml:space="preserve">A questioning that </w:t>
      </w:r>
      <w:r w:rsidR="00812D58" w:rsidRPr="00C80EC5">
        <w:rPr>
          <w:color w:val="595959" w:themeColor="text1" w:themeTint="A6"/>
        </w:rPr>
        <w:t xml:space="preserve">is palpable in </w:t>
      </w:r>
      <w:r w:rsidR="00CE62FD" w:rsidRPr="00C80EC5">
        <w:t xml:space="preserve">Plato’s distinction between the world of </w:t>
      </w:r>
      <w:r w:rsidR="00796EF6" w:rsidRPr="00C80EC5">
        <w:t>material bodies</w:t>
      </w:r>
      <w:r w:rsidR="00CE62FD" w:rsidRPr="00C80EC5">
        <w:t xml:space="preserve"> and the world of </w:t>
      </w:r>
      <w:r w:rsidR="00796EF6" w:rsidRPr="00C80EC5">
        <w:t>forms</w:t>
      </w:r>
      <w:r w:rsidR="00191CC5">
        <w:rPr>
          <w:rStyle w:val="Fodnotehenvisning"/>
        </w:rPr>
        <w:footnoteReference w:id="11"/>
      </w:r>
      <w:r w:rsidR="00CE62FD" w:rsidRPr="00C80EC5">
        <w:t xml:space="preserve"> </w:t>
      </w:r>
      <w:r w:rsidR="003A5196" w:rsidRPr="00C80EC5">
        <w:t>and</w:t>
      </w:r>
      <w:r w:rsidR="00175452" w:rsidRPr="00C80EC5">
        <w:t xml:space="preserve"> is manifest in the Cartesian dualism that distinguishes between</w:t>
      </w:r>
      <w:r w:rsidRPr="00C80EC5">
        <w:t xml:space="preserve"> </w:t>
      </w:r>
      <w:r w:rsidR="00175452" w:rsidRPr="00C80EC5">
        <w:t>the clear and distinct idea</w:t>
      </w:r>
      <w:r w:rsidR="00920269" w:rsidRPr="00C80EC5">
        <w:t>s on one hand, and the unreliable</w:t>
      </w:r>
      <w:r w:rsidR="00175452" w:rsidRPr="00C80EC5">
        <w:t xml:space="preserve"> sensory experience on the other hand</w:t>
      </w:r>
      <w:r w:rsidR="00191CC5">
        <w:rPr>
          <w:rStyle w:val="Fodnotehenvisning"/>
        </w:rPr>
        <w:footnoteReference w:id="12"/>
      </w:r>
      <w:r w:rsidR="00175452" w:rsidRPr="00C80EC5">
        <w:t>.</w:t>
      </w:r>
      <w:r w:rsidR="00265BB5" w:rsidRPr="00C80EC5">
        <w:t xml:space="preserve"> Evidently, there have been proponents of sensory e</w:t>
      </w:r>
      <w:r w:rsidR="00D461E4" w:rsidRPr="00C80EC5">
        <w:t>xperience as the gateway to cognition. One such example is</w:t>
      </w:r>
      <w:r w:rsidR="000A03A5" w:rsidRPr="00C80EC5">
        <w:t xml:space="preserve"> in</w:t>
      </w:r>
      <w:r w:rsidR="00D461E4" w:rsidRPr="00C80EC5">
        <w:t xml:space="preserve"> John Locke’s allusion to the human mind as possessing no innate ideas</w:t>
      </w:r>
      <w:r w:rsidR="00603A42">
        <w:rPr>
          <w:rStyle w:val="Fodnotehenvisning"/>
        </w:rPr>
        <w:footnoteReference w:id="13"/>
      </w:r>
      <w:r w:rsidR="00D461E4" w:rsidRPr="00C80EC5">
        <w:t>, but depending upon sensory experien</w:t>
      </w:r>
      <w:r w:rsidR="0060200D">
        <w:t>ce in order to attain knowledge</w:t>
      </w:r>
      <w:r w:rsidR="00F9135E" w:rsidRPr="00C80EC5">
        <w:t>.</w:t>
      </w:r>
      <w:r w:rsidR="00D461E4" w:rsidRPr="00C80EC5">
        <w:t xml:space="preserve"> The opposition between rationalists and empiricists embedded in this reference is commonly ascribed to the 17</w:t>
      </w:r>
      <w:r w:rsidR="00D461E4" w:rsidRPr="00C80EC5">
        <w:rPr>
          <w:vertAlign w:val="superscript"/>
        </w:rPr>
        <w:t>th</w:t>
      </w:r>
      <w:r w:rsidR="00D461E4" w:rsidRPr="00C80EC5">
        <w:t xml:space="preserve"> and 18</w:t>
      </w:r>
      <w:r w:rsidR="00D461E4" w:rsidRPr="00C80EC5">
        <w:rPr>
          <w:vertAlign w:val="superscript"/>
        </w:rPr>
        <w:t>th</w:t>
      </w:r>
      <w:r w:rsidR="00D461E4" w:rsidRPr="00C80EC5">
        <w:t xml:space="preserve"> century philosophers, though not always emphasising the complexity of the debate</w:t>
      </w:r>
      <w:r w:rsidR="00AC6AD7" w:rsidRPr="00C80EC5">
        <w:t>. What is clear, however, is that th</w:t>
      </w:r>
      <w:r w:rsidR="00EC2E29" w:rsidRPr="00C80EC5">
        <w:t>e</w:t>
      </w:r>
      <w:r w:rsidR="00AC6AD7" w:rsidRPr="00C80EC5">
        <w:t xml:space="preserve"> debate largely ignored sensory experience</w:t>
      </w:r>
      <w:r w:rsidR="0015679C" w:rsidRPr="00C80EC5">
        <w:t xml:space="preserve"> in terms of the perception of</w:t>
      </w:r>
      <w:r w:rsidR="0060200D">
        <w:t xml:space="preserve"> wh</w:t>
      </w:r>
      <w:r w:rsidR="00817741">
        <w:t>a</w:t>
      </w:r>
      <w:r w:rsidR="0060200D">
        <w:t>t might be referred to in terms of beautiful qualities</w:t>
      </w:r>
      <w:r w:rsidR="00713BF5" w:rsidRPr="00C80EC5">
        <w:t xml:space="preserve">. </w:t>
      </w:r>
      <w:r w:rsidR="00C850A0" w:rsidRPr="00C80EC5">
        <w:rPr>
          <w:color w:val="595959" w:themeColor="text1" w:themeTint="A6"/>
        </w:rPr>
        <w:t>In</w:t>
      </w:r>
      <w:r w:rsidR="00AC6AD7" w:rsidRPr="00C80EC5">
        <w:rPr>
          <w:color w:val="595959" w:themeColor="text1" w:themeTint="A6"/>
        </w:rPr>
        <w:t xml:space="preserve"> this</w:t>
      </w:r>
      <w:r w:rsidR="0015679C" w:rsidRPr="00C80EC5">
        <w:rPr>
          <w:color w:val="595959" w:themeColor="text1" w:themeTint="A6"/>
        </w:rPr>
        <w:t xml:space="preserve"> context</w:t>
      </w:r>
      <w:r w:rsidR="00713BF5" w:rsidRPr="00C80EC5">
        <w:rPr>
          <w:color w:val="595959" w:themeColor="text1" w:themeTint="A6"/>
        </w:rPr>
        <w:t>,</w:t>
      </w:r>
      <w:r w:rsidR="00AC6AD7" w:rsidRPr="00C80EC5">
        <w:rPr>
          <w:color w:val="595959" w:themeColor="text1" w:themeTint="A6"/>
        </w:rPr>
        <w:t xml:space="preserve"> Alexander </w:t>
      </w:r>
      <w:proofErr w:type="spellStart"/>
      <w:r w:rsidR="00AC6AD7" w:rsidRPr="00C80EC5">
        <w:rPr>
          <w:color w:val="595959" w:themeColor="text1" w:themeTint="A6"/>
        </w:rPr>
        <w:t>Baumgarten’s</w:t>
      </w:r>
      <w:proofErr w:type="spellEnd"/>
      <w:r w:rsidR="00713BF5" w:rsidRPr="00C80EC5">
        <w:rPr>
          <w:color w:val="595959" w:themeColor="text1" w:themeTint="A6"/>
        </w:rPr>
        <w:t xml:space="preserve"> </w:t>
      </w:r>
      <w:r w:rsidR="00C850A0" w:rsidRPr="00C80EC5">
        <w:rPr>
          <w:i/>
          <w:color w:val="595959" w:themeColor="text1" w:themeTint="A6"/>
        </w:rPr>
        <w:t>Reflections on Poetry</w:t>
      </w:r>
      <w:r w:rsidR="00C850A0" w:rsidRPr="00C80EC5">
        <w:rPr>
          <w:color w:val="595959" w:themeColor="text1" w:themeTint="A6"/>
        </w:rPr>
        <w:t xml:space="preserve"> </w:t>
      </w:r>
      <w:r w:rsidR="006C03FC" w:rsidRPr="00C80EC5">
        <w:rPr>
          <w:color w:val="595959" w:themeColor="text1" w:themeTint="A6"/>
        </w:rPr>
        <w:t>represents a break in the sense that he</w:t>
      </w:r>
      <w:r w:rsidR="00C850A0" w:rsidRPr="00C80EC5">
        <w:rPr>
          <w:color w:val="595959" w:themeColor="text1" w:themeTint="A6"/>
        </w:rPr>
        <w:t xml:space="preserve"> positioned</w:t>
      </w:r>
      <w:r w:rsidR="00100514">
        <w:rPr>
          <w:color w:val="595959" w:themeColor="text1" w:themeTint="A6"/>
        </w:rPr>
        <w:t xml:space="preserve"> sensory experience – in his words,</w:t>
      </w:r>
      <w:r w:rsidR="006C03FC" w:rsidRPr="00C80EC5">
        <w:rPr>
          <w:color w:val="595959" w:themeColor="text1" w:themeTint="A6"/>
        </w:rPr>
        <w:t xml:space="preserve"> aesthetic</w:t>
      </w:r>
      <w:r w:rsidR="00100514">
        <w:rPr>
          <w:color w:val="595959" w:themeColor="text1" w:themeTint="A6"/>
        </w:rPr>
        <w:t xml:space="preserve"> </w:t>
      </w:r>
      <w:r w:rsidR="006C03FC" w:rsidRPr="00C80EC5">
        <w:rPr>
          <w:color w:val="595959" w:themeColor="text1" w:themeTint="A6"/>
        </w:rPr>
        <w:t>sensibilities</w:t>
      </w:r>
      <w:r w:rsidR="00100514">
        <w:rPr>
          <w:color w:val="595959" w:themeColor="text1" w:themeTint="A6"/>
        </w:rPr>
        <w:t xml:space="preserve"> -</w:t>
      </w:r>
      <w:r w:rsidR="00C850A0" w:rsidRPr="00C80EC5">
        <w:rPr>
          <w:color w:val="595959" w:themeColor="text1" w:themeTint="A6"/>
        </w:rPr>
        <w:t xml:space="preserve"> within the sphere of cognition</w:t>
      </w:r>
      <w:r w:rsidR="00100514">
        <w:rPr>
          <w:color w:val="595959" w:themeColor="text1" w:themeTint="A6"/>
        </w:rPr>
        <w:t xml:space="preserve">; </w:t>
      </w:r>
      <w:r w:rsidR="00717735" w:rsidRPr="00C80EC5">
        <w:rPr>
          <w:color w:val="595959" w:themeColor="text1" w:themeTint="A6"/>
        </w:rPr>
        <w:t>as providers of</w:t>
      </w:r>
      <w:r w:rsidR="00C850A0" w:rsidRPr="00C80EC5">
        <w:rPr>
          <w:color w:val="595959" w:themeColor="text1" w:themeTint="A6"/>
        </w:rPr>
        <w:t xml:space="preserve"> knowledge that is different from logical reasoning, but neve</w:t>
      </w:r>
      <w:r w:rsidR="00603A42">
        <w:rPr>
          <w:color w:val="595959" w:themeColor="text1" w:themeTint="A6"/>
        </w:rPr>
        <w:t>rtheless knowledge</w:t>
      </w:r>
      <w:r w:rsidR="00C850A0" w:rsidRPr="00C80EC5">
        <w:rPr>
          <w:color w:val="595959" w:themeColor="text1" w:themeTint="A6"/>
        </w:rPr>
        <w:t>.</w:t>
      </w:r>
      <w:r w:rsidR="00603A42">
        <w:rPr>
          <w:rStyle w:val="Fodnotehenvisning"/>
          <w:color w:val="595959" w:themeColor="text1" w:themeTint="A6"/>
        </w:rPr>
        <w:footnoteReference w:id="14"/>
      </w:r>
      <w:r w:rsidR="00C850A0" w:rsidRPr="00C80EC5">
        <w:rPr>
          <w:color w:val="595959" w:themeColor="text1" w:themeTint="A6"/>
        </w:rPr>
        <w:t xml:space="preserve"> </w:t>
      </w:r>
      <w:r w:rsidR="002858FA" w:rsidRPr="00C80EC5">
        <w:rPr>
          <w:color w:val="595959" w:themeColor="text1" w:themeTint="A6"/>
        </w:rPr>
        <w:t xml:space="preserve">Though taste enters the sphere of cognition as a capacity for judgment with </w:t>
      </w:r>
      <w:proofErr w:type="spellStart"/>
      <w:r w:rsidR="002858FA" w:rsidRPr="00C80EC5">
        <w:rPr>
          <w:color w:val="595959" w:themeColor="text1" w:themeTint="A6"/>
        </w:rPr>
        <w:t>Baumgarten</w:t>
      </w:r>
      <w:proofErr w:type="spellEnd"/>
      <w:r w:rsidR="002858FA" w:rsidRPr="00C80EC5">
        <w:rPr>
          <w:color w:val="595959" w:themeColor="text1" w:themeTint="A6"/>
        </w:rPr>
        <w:t>, taste in terms of the corporal, gusta</w:t>
      </w:r>
      <w:r w:rsidR="00D5782C" w:rsidRPr="00C80EC5">
        <w:rPr>
          <w:color w:val="595959" w:themeColor="text1" w:themeTint="A6"/>
        </w:rPr>
        <w:t xml:space="preserve">tory encounter with the world </w:t>
      </w:r>
      <w:r w:rsidR="002858FA" w:rsidRPr="00C80EC5">
        <w:rPr>
          <w:color w:val="595959" w:themeColor="text1" w:themeTint="A6"/>
        </w:rPr>
        <w:t xml:space="preserve">has </w:t>
      </w:r>
      <w:r w:rsidR="00AE0C8B" w:rsidRPr="00C80EC5">
        <w:rPr>
          <w:color w:val="595959" w:themeColor="text1" w:themeTint="A6"/>
        </w:rPr>
        <w:t>for the most part been absent</w:t>
      </w:r>
      <w:r w:rsidR="00EC1751" w:rsidRPr="00C80EC5">
        <w:rPr>
          <w:color w:val="595959" w:themeColor="text1" w:themeTint="A6"/>
        </w:rPr>
        <w:t xml:space="preserve"> in philosophical discourse</w:t>
      </w:r>
      <w:r w:rsidR="002858FA" w:rsidRPr="00C80EC5">
        <w:rPr>
          <w:color w:val="595959" w:themeColor="text1" w:themeTint="A6"/>
        </w:rPr>
        <w:t xml:space="preserve">. </w:t>
      </w:r>
      <w:r w:rsidR="00E55157" w:rsidRPr="00C80EC5">
        <w:rPr>
          <w:color w:val="595959" w:themeColor="text1" w:themeTint="A6"/>
        </w:rPr>
        <w:t>Immanuel Kant offers a p</w:t>
      </w:r>
      <w:r w:rsidR="00717735" w:rsidRPr="00C80EC5">
        <w:rPr>
          <w:color w:val="595959" w:themeColor="text1" w:themeTint="A6"/>
        </w:rPr>
        <w:t>articularly clear example of this disregard</w:t>
      </w:r>
      <w:r w:rsidR="00E55157" w:rsidRPr="00C80EC5">
        <w:rPr>
          <w:color w:val="595959" w:themeColor="text1" w:themeTint="A6"/>
        </w:rPr>
        <w:t xml:space="preserve"> in linking the gustatory experience to</w:t>
      </w:r>
      <w:r w:rsidR="005E3F13" w:rsidRPr="00C80EC5">
        <w:rPr>
          <w:color w:val="595959" w:themeColor="text1" w:themeTint="A6"/>
        </w:rPr>
        <w:t xml:space="preserve"> subjective pleasures guided by interest or desire</w:t>
      </w:r>
      <w:r w:rsidR="00E55157" w:rsidRPr="00C80EC5">
        <w:rPr>
          <w:color w:val="595959" w:themeColor="text1" w:themeTint="A6"/>
        </w:rPr>
        <w:t>, thus positioning the corporal experience in opposition to the intellectual pleasure in the aesthetic judgement that is believed to b</w:t>
      </w:r>
      <w:r w:rsidR="00817741">
        <w:rPr>
          <w:color w:val="595959" w:themeColor="text1" w:themeTint="A6"/>
        </w:rPr>
        <w:t>e val</w:t>
      </w:r>
      <w:r w:rsidR="0009600A">
        <w:rPr>
          <w:color w:val="595959" w:themeColor="text1" w:themeTint="A6"/>
        </w:rPr>
        <w:t>id for everyone</w:t>
      </w:r>
      <w:r w:rsidR="00E55157" w:rsidRPr="00C80EC5">
        <w:rPr>
          <w:color w:val="595959" w:themeColor="text1" w:themeTint="A6"/>
        </w:rPr>
        <w:t>.</w:t>
      </w:r>
      <w:r w:rsidR="0009600A">
        <w:rPr>
          <w:rStyle w:val="Fodnotehenvisning"/>
          <w:color w:val="595959" w:themeColor="text1" w:themeTint="A6"/>
        </w:rPr>
        <w:footnoteReference w:id="15"/>
      </w:r>
      <w:r w:rsidR="00E55157" w:rsidRPr="00C80EC5">
        <w:rPr>
          <w:color w:val="595959" w:themeColor="text1" w:themeTint="A6"/>
        </w:rPr>
        <w:t xml:space="preserve"> </w:t>
      </w:r>
      <w:r w:rsidR="00F86E8A" w:rsidRPr="00C80EC5">
        <w:rPr>
          <w:color w:val="595959" w:themeColor="text1" w:themeTint="A6"/>
        </w:rPr>
        <w:t xml:space="preserve">There are exceptions, though. </w:t>
      </w:r>
      <w:r w:rsidR="00FE2DDF" w:rsidRPr="00C80EC5">
        <w:rPr>
          <w:color w:val="595959" w:themeColor="text1" w:themeTint="A6"/>
        </w:rPr>
        <w:t>A</w:t>
      </w:r>
      <w:r w:rsidR="00DA77AE" w:rsidRPr="00C80EC5">
        <w:rPr>
          <w:color w:val="595959" w:themeColor="text1" w:themeTint="A6"/>
        </w:rPr>
        <w:t>s</w:t>
      </w:r>
      <w:r w:rsidR="00FE2DDF" w:rsidRPr="00C80EC5">
        <w:rPr>
          <w:color w:val="595959" w:themeColor="text1" w:themeTint="A6"/>
        </w:rPr>
        <w:t xml:space="preserve"> in</w:t>
      </w:r>
      <w:r w:rsidR="00D633A3" w:rsidRPr="00C80EC5">
        <w:rPr>
          <w:color w:val="595959" w:themeColor="text1" w:themeTint="A6"/>
        </w:rPr>
        <w:t xml:space="preserve"> </w:t>
      </w:r>
      <w:r w:rsidR="00A10553" w:rsidRPr="00C80EC5">
        <w:rPr>
          <w:color w:val="595959" w:themeColor="text1" w:themeTint="A6"/>
        </w:rPr>
        <w:t>David Hume</w:t>
      </w:r>
      <w:r w:rsidR="00FE2DDF" w:rsidRPr="00C80EC5">
        <w:rPr>
          <w:color w:val="595959" w:themeColor="text1" w:themeTint="A6"/>
        </w:rPr>
        <w:t xml:space="preserve">’s work </w:t>
      </w:r>
      <w:r w:rsidR="00FA20B6" w:rsidRPr="00C80EC5">
        <w:rPr>
          <w:color w:val="595959" w:themeColor="text1" w:themeTint="A6"/>
        </w:rPr>
        <w:t>on the standards of taste</w:t>
      </w:r>
      <w:r w:rsidR="00DA77AE" w:rsidRPr="00C80EC5">
        <w:rPr>
          <w:color w:val="595959" w:themeColor="text1" w:themeTint="A6"/>
        </w:rPr>
        <w:t xml:space="preserve"> where</w:t>
      </w:r>
      <w:r w:rsidR="00FE2DDF" w:rsidRPr="00C80EC5">
        <w:rPr>
          <w:color w:val="595959" w:themeColor="text1" w:themeTint="A6"/>
        </w:rPr>
        <w:t xml:space="preserve"> there is</w:t>
      </w:r>
      <w:r w:rsidR="00FA20B6" w:rsidRPr="00C80EC5">
        <w:rPr>
          <w:color w:val="595959" w:themeColor="text1" w:themeTint="A6"/>
        </w:rPr>
        <w:t xml:space="preserve"> a parallelism between </w:t>
      </w:r>
      <w:r w:rsidR="00FE2DDF" w:rsidRPr="00C80EC5">
        <w:rPr>
          <w:color w:val="595959" w:themeColor="text1" w:themeTint="A6"/>
        </w:rPr>
        <w:t xml:space="preserve">the </w:t>
      </w:r>
      <w:r w:rsidR="00FA20B6" w:rsidRPr="00C80EC5">
        <w:rPr>
          <w:color w:val="595959" w:themeColor="text1" w:themeTint="A6"/>
        </w:rPr>
        <w:t>corporal taste</w:t>
      </w:r>
      <w:r w:rsidR="00C50FF5" w:rsidRPr="00C80EC5">
        <w:rPr>
          <w:color w:val="595959" w:themeColor="text1" w:themeTint="A6"/>
        </w:rPr>
        <w:t xml:space="preserve"> for the sweet or the bitter</w:t>
      </w:r>
      <w:r w:rsidR="00FA20B6" w:rsidRPr="00C80EC5">
        <w:rPr>
          <w:color w:val="595959" w:themeColor="text1" w:themeTint="A6"/>
        </w:rPr>
        <w:t xml:space="preserve"> and the sensibility</w:t>
      </w:r>
      <w:r w:rsidR="008147AD" w:rsidRPr="00C80EC5">
        <w:rPr>
          <w:color w:val="595959" w:themeColor="text1" w:themeTint="A6"/>
        </w:rPr>
        <w:t xml:space="preserve"> for</w:t>
      </w:r>
      <w:r w:rsidR="00C50FF5" w:rsidRPr="00C80EC5">
        <w:rPr>
          <w:color w:val="595959" w:themeColor="text1" w:themeTint="A6"/>
        </w:rPr>
        <w:t xml:space="preserve"> beauty or deformity</w:t>
      </w:r>
      <w:r w:rsidR="00FA20B6" w:rsidRPr="00C80EC5">
        <w:rPr>
          <w:color w:val="595959" w:themeColor="text1" w:themeTint="A6"/>
        </w:rPr>
        <w:t xml:space="preserve"> in the sense that </w:t>
      </w:r>
      <w:r w:rsidR="003A4BD4" w:rsidRPr="00C80EC5">
        <w:rPr>
          <w:color w:val="595959" w:themeColor="text1" w:themeTint="A6"/>
        </w:rPr>
        <w:t xml:space="preserve">both are rooted in human nature – </w:t>
      </w:r>
      <w:r w:rsidR="008147AD" w:rsidRPr="00C80EC5">
        <w:rPr>
          <w:color w:val="595959" w:themeColor="text1" w:themeTint="A6"/>
        </w:rPr>
        <w:t>both</w:t>
      </w:r>
      <w:r w:rsidR="003A4BD4" w:rsidRPr="00C80EC5">
        <w:rPr>
          <w:color w:val="595959" w:themeColor="text1" w:themeTint="A6"/>
        </w:rPr>
        <w:t xml:space="preserve"> being demonstrated through the particular a</w:t>
      </w:r>
      <w:r w:rsidR="00E26B6F">
        <w:rPr>
          <w:color w:val="595959" w:themeColor="text1" w:themeTint="A6"/>
        </w:rPr>
        <w:t>wareness of detail</w:t>
      </w:r>
      <w:r w:rsidR="00A10553" w:rsidRPr="00C80EC5">
        <w:rPr>
          <w:color w:val="595959" w:themeColor="text1" w:themeTint="A6"/>
        </w:rPr>
        <w:t>.</w:t>
      </w:r>
      <w:r w:rsidR="0009600A">
        <w:rPr>
          <w:rStyle w:val="Fodnotehenvisning"/>
          <w:color w:val="595959" w:themeColor="text1" w:themeTint="A6"/>
        </w:rPr>
        <w:footnoteReference w:id="16"/>
      </w:r>
      <w:r w:rsidR="00E55157" w:rsidRPr="00C80EC5">
        <w:rPr>
          <w:color w:val="595959" w:themeColor="text1" w:themeTint="A6"/>
        </w:rPr>
        <w:t xml:space="preserve"> </w:t>
      </w:r>
      <w:r w:rsidR="00A71ED7">
        <w:rPr>
          <w:color w:val="595959" w:themeColor="text1" w:themeTint="A6"/>
        </w:rPr>
        <w:t xml:space="preserve">There can be little doubt that Kant’s work has exercised great influence in the context of philosophical inquiry. Taste remains largely a concept employed in terms of aesthetic judgment, whereas the potential of the corporal, gustatory encounter with the world has been left relatively unexplored. </w:t>
      </w:r>
    </w:p>
    <w:p w:rsidR="001A7048" w:rsidRPr="00C80EC5" w:rsidRDefault="00D96B8D" w:rsidP="0091490B">
      <w:pPr>
        <w:spacing w:line="480" w:lineRule="auto"/>
        <w:ind w:left="0"/>
        <w:jc w:val="both"/>
        <w:rPr>
          <w:color w:val="595959" w:themeColor="text1" w:themeTint="A6"/>
        </w:rPr>
      </w:pPr>
      <w:r w:rsidRPr="00C80EC5">
        <w:rPr>
          <w:color w:val="595959" w:themeColor="text1" w:themeTint="A6"/>
        </w:rPr>
        <w:lastRenderedPageBreak/>
        <w:t>The interest of this paper is to</w:t>
      </w:r>
      <w:r w:rsidR="00417F85" w:rsidRPr="00C80EC5">
        <w:rPr>
          <w:color w:val="595959" w:themeColor="text1" w:themeTint="A6"/>
        </w:rPr>
        <w:t xml:space="preserve"> explore taste in the context of phenomenology and to</w:t>
      </w:r>
      <w:r w:rsidRPr="00C80EC5">
        <w:rPr>
          <w:color w:val="595959" w:themeColor="text1" w:themeTint="A6"/>
        </w:rPr>
        <w:t xml:space="preserve"> position </w:t>
      </w:r>
      <w:r w:rsidR="00417F85" w:rsidRPr="00C80EC5">
        <w:rPr>
          <w:color w:val="595959" w:themeColor="text1" w:themeTint="A6"/>
        </w:rPr>
        <w:t>this approach</w:t>
      </w:r>
      <w:r w:rsidR="003101B8" w:rsidRPr="00C80EC5">
        <w:rPr>
          <w:color w:val="595959" w:themeColor="text1" w:themeTint="A6"/>
        </w:rPr>
        <w:t xml:space="preserve"> </w:t>
      </w:r>
      <w:r w:rsidRPr="00C80EC5">
        <w:rPr>
          <w:color w:val="595959" w:themeColor="text1" w:themeTint="A6"/>
        </w:rPr>
        <w:t xml:space="preserve">in the context of </w:t>
      </w:r>
      <w:r w:rsidR="00863BA3" w:rsidRPr="00C80EC5">
        <w:rPr>
          <w:color w:val="595959" w:themeColor="text1" w:themeTint="A6"/>
        </w:rPr>
        <w:t>education</w:t>
      </w:r>
      <w:r w:rsidR="0023006D" w:rsidRPr="00C80EC5">
        <w:rPr>
          <w:color w:val="595959" w:themeColor="text1" w:themeTint="A6"/>
        </w:rPr>
        <w:t xml:space="preserve">. </w:t>
      </w:r>
      <w:r w:rsidR="00C11547" w:rsidRPr="00C80EC5">
        <w:rPr>
          <w:color w:val="595959" w:themeColor="text1" w:themeTint="A6"/>
        </w:rPr>
        <w:t>Hence, taste will be considered n</w:t>
      </w:r>
      <w:r w:rsidR="0023006D" w:rsidRPr="00C80EC5">
        <w:rPr>
          <w:color w:val="595959" w:themeColor="text1" w:themeTint="A6"/>
        </w:rPr>
        <w:t>ot only as an immediate sensory encou</w:t>
      </w:r>
      <w:r w:rsidR="0033016A" w:rsidRPr="00C80EC5">
        <w:rPr>
          <w:color w:val="595959" w:themeColor="text1" w:themeTint="A6"/>
        </w:rPr>
        <w:t>nter with edible goods</w:t>
      </w:r>
      <w:r w:rsidR="00E57311" w:rsidRPr="00C80EC5">
        <w:rPr>
          <w:color w:val="595959" w:themeColor="text1" w:themeTint="A6"/>
        </w:rPr>
        <w:t xml:space="preserve"> triggering likes or dislikes</w:t>
      </w:r>
      <w:r w:rsidR="0033016A" w:rsidRPr="00C80EC5">
        <w:rPr>
          <w:color w:val="595959" w:themeColor="text1" w:themeTint="A6"/>
        </w:rPr>
        <w:t>, but as</w:t>
      </w:r>
      <w:r w:rsidR="0023006D" w:rsidRPr="00C80EC5">
        <w:rPr>
          <w:color w:val="595959" w:themeColor="text1" w:themeTint="A6"/>
        </w:rPr>
        <w:t xml:space="preserve"> sensory </w:t>
      </w:r>
      <w:r w:rsidR="00C11547" w:rsidRPr="00C80EC5">
        <w:rPr>
          <w:color w:val="595959" w:themeColor="text1" w:themeTint="A6"/>
        </w:rPr>
        <w:t>experience</w:t>
      </w:r>
      <w:r w:rsidR="0023006D" w:rsidRPr="00C80EC5">
        <w:rPr>
          <w:color w:val="595959" w:themeColor="text1" w:themeTint="A6"/>
        </w:rPr>
        <w:t xml:space="preserve"> initiating learning </w:t>
      </w:r>
      <w:r w:rsidR="0023006D" w:rsidRPr="00C80EC5">
        <w:rPr>
          <w:i/>
          <w:color w:val="595959" w:themeColor="text1" w:themeTint="A6"/>
        </w:rPr>
        <w:t>about</w:t>
      </w:r>
      <w:r w:rsidR="00230700" w:rsidRPr="00C80EC5">
        <w:rPr>
          <w:color w:val="595959" w:themeColor="text1" w:themeTint="A6"/>
        </w:rPr>
        <w:t xml:space="preserve"> taste</w:t>
      </w:r>
      <w:r w:rsidR="0023006D" w:rsidRPr="00C80EC5">
        <w:rPr>
          <w:color w:val="595959" w:themeColor="text1" w:themeTint="A6"/>
        </w:rPr>
        <w:t xml:space="preserve"> as well as </w:t>
      </w:r>
      <w:r w:rsidR="0023006D" w:rsidRPr="00C80EC5">
        <w:rPr>
          <w:i/>
          <w:color w:val="595959" w:themeColor="text1" w:themeTint="A6"/>
        </w:rPr>
        <w:t>through</w:t>
      </w:r>
      <w:r w:rsidR="00230700" w:rsidRPr="00C80EC5">
        <w:rPr>
          <w:color w:val="595959" w:themeColor="text1" w:themeTint="A6"/>
        </w:rPr>
        <w:t xml:space="preserve"> taste in</w:t>
      </w:r>
      <w:r w:rsidR="0023006D" w:rsidRPr="00C80EC5">
        <w:rPr>
          <w:color w:val="595959" w:themeColor="text1" w:themeTint="A6"/>
        </w:rPr>
        <w:t xml:space="preserve"> its employment in educational activities</w:t>
      </w:r>
      <w:r w:rsidR="00863BA3" w:rsidRPr="00C80EC5">
        <w:rPr>
          <w:color w:val="595959" w:themeColor="text1" w:themeTint="A6"/>
        </w:rPr>
        <w:t xml:space="preserve">. </w:t>
      </w:r>
      <w:r w:rsidR="00230700" w:rsidRPr="00C80EC5">
        <w:rPr>
          <w:color w:val="595959" w:themeColor="text1" w:themeTint="A6"/>
        </w:rPr>
        <w:t>The paper</w:t>
      </w:r>
      <w:r w:rsidR="005C4F83" w:rsidRPr="00C80EC5">
        <w:rPr>
          <w:color w:val="595959" w:themeColor="text1" w:themeTint="A6"/>
        </w:rPr>
        <w:t xml:space="preserve"> will start by</w:t>
      </w:r>
      <w:r w:rsidR="005C5B64" w:rsidRPr="00C80EC5">
        <w:rPr>
          <w:color w:val="595959" w:themeColor="text1" w:themeTint="A6"/>
        </w:rPr>
        <w:t xml:space="preserve"> outlining</w:t>
      </w:r>
      <w:r w:rsidR="0033016A" w:rsidRPr="00C80EC5">
        <w:rPr>
          <w:color w:val="595959" w:themeColor="text1" w:themeTint="A6"/>
        </w:rPr>
        <w:t xml:space="preserve"> the complexity of</w:t>
      </w:r>
      <w:r w:rsidR="005C5B64" w:rsidRPr="00C80EC5">
        <w:rPr>
          <w:color w:val="595959" w:themeColor="text1" w:themeTint="A6"/>
        </w:rPr>
        <w:t xml:space="preserve"> sensory experience with reference to Maurice </w:t>
      </w:r>
      <w:proofErr w:type="spellStart"/>
      <w:r w:rsidR="005C5B64" w:rsidRPr="00C80EC5">
        <w:rPr>
          <w:color w:val="595959" w:themeColor="text1" w:themeTint="A6"/>
        </w:rPr>
        <w:t>Merleau-Ponty’s</w:t>
      </w:r>
      <w:proofErr w:type="spellEnd"/>
      <w:r w:rsidR="005C5B64" w:rsidRPr="00C80EC5">
        <w:rPr>
          <w:color w:val="595959" w:themeColor="text1" w:themeTint="A6"/>
        </w:rPr>
        <w:t xml:space="preserve"> </w:t>
      </w:r>
      <w:proofErr w:type="spellStart"/>
      <w:r w:rsidR="005C5B64" w:rsidRPr="00C80EC5">
        <w:rPr>
          <w:i/>
          <w:color w:val="595959" w:themeColor="text1" w:themeTint="A6"/>
        </w:rPr>
        <w:t>Phénoménologie</w:t>
      </w:r>
      <w:proofErr w:type="spellEnd"/>
      <w:r w:rsidR="005C5B64" w:rsidRPr="00C80EC5">
        <w:rPr>
          <w:i/>
          <w:color w:val="595959" w:themeColor="text1" w:themeTint="A6"/>
        </w:rPr>
        <w:t xml:space="preserve"> de la perception. </w:t>
      </w:r>
      <w:r w:rsidR="005C5B64" w:rsidRPr="00C80EC5">
        <w:rPr>
          <w:color w:val="595959" w:themeColor="text1" w:themeTint="A6"/>
        </w:rPr>
        <w:t xml:space="preserve">In this context, the </w:t>
      </w:r>
      <w:r w:rsidR="0023006D" w:rsidRPr="00C80EC5">
        <w:rPr>
          <w:color w:val="595959" w:themeColor="text1" w:themeTint="A6"/>
        </w:rPr>
        <w:t>approach to</w:t>
      </w:r>
      <w:r w:rsidR="005C5B64" w:rsidRPr="00C80EC5">
        <w:rPr>
          <w:color w:val="595959" w:themeColor="text1" w:themeTint="A6"/>
        </w:rPr>
        <w:t xml:space="preserve"> our environment takes place in a synthesis of sensory</w:t>
      </w:r>
      <w:r w:rsidR="00C11547" w:rsidRPr="00C80EC5">
        <w:rPr>
          <w:color w:val="595959" w:themeColor="text1" w:themeTint="A6"/>
        </w:rPr>
        <w:t xml:space="preserve"> impressions</w:t>
      </w:r>
      <w:r w:rsidR="005C5B64" w:rsidRPr="00C80EC5">
        <w:rPr>
          <w:color w:val="595959" w:themeColor="text1" w:themeTint="A6"/>
        </w:rPr>
        <w:t xml:space="preserve"> – not in the sense that sight, hearing, tactility, smell and taste are directed towards the same objects, but understood as a complex interplay between the</w:t>
      </w:r>
      <w:r w:rsidR="00C11547" w:rsidRPr="00C80EC5">
        <w:rPr>
          <w:color w:val="595959" w:themeColor="text1" w:themeTint="A6"/>
        </w:rPr>
        <w:t xml:space="preserve"> contributions of each sense</w:t>
      </w:r>
      <w:r w:rsidR="005C5B64" w:rsidRPr="00C80EC5">
        <w:rPr>
          <w:color w:val="595959" w:themeColor="text1" w:themeTint="A6"/>
        </w:rPr>
        <w:t xml:space="preserve">. </w:t>
      </w:r>
      <w:r w:rsidR="0033016A" w:rsidRPr="00C80EC5">
        <w:rPr>
          <w:color w:val="595959" w:themeColor="text1" w:themeTint="A6"/>
        </w:rPr>
        <w:t>Taste, however,</w:t>
      </w:r>
      <w:r w:rsidR="00984F6F" w:rsidRPr="00C80EC5">
        <w:rPr>
          <w:color w:val="595959" w:themeColor="text1" w:themeTint="A6"/>
        </w:rPr>
        <w:t xml:space="preserve"> is</w:t>
      </w:r>
      <w:r w:rsidR="00524C3F" w:rsidRPr="00C80EC5">
        <w:rPr>
          <w:color w:val="595959" w:themeColor="text1" w:themeTint="A6"/>
        </w:rPr>
        <w:t xml:space="preserve"> as good as</w:t>
      </w:r>
      <w:r w:rsidR="00984F6F" w:rsidRPr="00C80EC5">
        <w:rPr>
          <w:color w:val="595959" w:themeColor="text1" w:themeTint="A6"/>
        </w:rPr>
        <w:t xml:space="preserve"> absent</w:t>
      </w:r>
      <w:r w:rsidR="0023006D" w:rsidRPr="00C80EC5">
        <w:rPr>
          <w:color w:val="595959" w:themeColor="text1" w:themeTint="A6"/>
        </w:rPr>
        <w:t xml:space="preserve"> in </w:t>
      </w:r>
      <w:proofErr w:type="spellStart"/>
      <w:r w:rsidR="0033016A" w:rsidRPr="00C80EC5">
        <w:rPr>
          <w:color w:val="595959" w:themeColor="text1" w:themeTint="A6"/>
        </w:rPr>
        <w:t>Merleau-Ponty’s</w:t>
      </w:r>
      <w:proofErr w:type="spellEnd"/>
      <w:r w:rsidR="0033016A" w:rsidRPr="00C80EC5">
        <w:rPr>
          <w:color w:val="595959" w:themeColor="text1" w:themeTint="A6"/>
        </w:rPr>
        <w:t xml:space="preserve"> account for this</w:t>
      </w:r>
      <w:r w:rsidR="0023006D" w:rsidRPr="00C80EC5">
        <w:rPr>
          <w:color w:val="595959" w:themeColor="text1" w:themeTint="A6"/>
        </w:rPr>
        <w:t xml:space="preserve"> interplay</w:t>
      </w:r>
      <w:r w:rsidR="00C01AC0" w:rsidRPr="00C80EC5">
        <w:rPr>
          <w:color w:val="595959" w:themeColor="text1" w:themeTint="A6"/>
        </w:rPr>
        <w:t>. Nevertheless,</w:t>
      </w:r>
      <w:r w:rsidR="0033016A" w:rsidRPr="00C80EC5">
        <w:rPr>
          <w:color w:val="595959" w:themeColor="text1" w:themeTint="A6"/>
        </w:rPr>
        <w:t xml:space="preserve"> the following sections of the paper will use his insights as inspiration </w:t>
      </w:r>
      <w:r w:rsidR="00C01AC0" w:rsidRPr="00C80EC5">
        <w:rPr>
          <w:color w:val="595959" w:themeColor="text1" w:themeTint="A6"/>
        </w:rPr>
        <w:t>to</w:t>
      </w:r>
      <w:r w:rsidR="0033016A" w:rsidRPr="00C80EC5">
        <w:rPr>
          <w:color w:val="595959" w:themeColor="text1" w:themeTint="A6"/>
        </w:rPr>
        <w:t xml:space="preserve"> the formulation of an outline</w:t>
      </w:r>
      <w:r w:rsidR="00CD2D82" w:rsidRPr="00C80EC5">
        <w:rPr>
          <w:color w:val="595959" w:themeColor="text1" w:themeTint="A6"/>
        </w:rPr>
        <w:t xml:space="preserve"> of</w:t>
      </w:r>
      <w:r w:rsidR="0040546B" w:rsidRPr="00C80EC5">
        <w:rPr>
          <w:color w:val="595959" w:themeColor="text1" w:themeTint="A6"/>
        </w:rPr>
        <w:t xml:space="preserve"> how</w:t>
      </w:r>
      <w:r w:rsidR="00CD2D82" w:rsidRPr="00C80EC5">
        <w:rPr>
          <w:color w:val="595959" w:themeColor="text1" w:themeTint="A6"/>
        </w:rPr>
        <w:t xml:space="preserve"> the synthesis of taste-experience</w:t>
      </w:r>
      <w:r w:rsidR="0040546B" w:rsidRPr="00C80EC5">
        <w:rPr>
          <w:color w:val="595959" w:themeColor="text1" w:themeTint="A6"/>
        </w:rPr>
        <w:t xml:space="preserve"> takes place</w:t>
      </w:r>
      <w:r w:rsidR="00CD2D82" w:rsidRPr="00C80EC5">
        <w:rPr>
          <w:color w:val="595959" w:themeColor="text1" w:themeTint="A6"/>
        </w:rPr>
        <w:t xml:space="preserve"> and ask whether the complexity of taste </w:t>
      </w:r>
      <w:r w:rsidR="00984F6F" w:rsidRPr="00C80EC5">
        <w:rPr>
          <w:color w:val="595959" w:themeColor="text1" w:themeTint="A6"/>
        </w:rPr>
        <w:t>might be</w:t>
      </w:r>
      <w:r w:rsidR="00CD2D82" w:rsidRPr="00C80EC5">
        <w:rPr>
          <w:color w:val="595959" w:themeColor="text1" w:themeTint="A6"/>
        </w:rPr>
        <w:t xml:space="preserve"> indicative of </w:t>
      </w:r>
      <w:r w:rsidR="007A2711" w:rsidRPr="00C80EC5">
        <w:rPr>
          <w:color w:val="595959" w:themeColor="text1" w:themeTint="A6"/>
        </w:rPr>
        <w:t>a privileged access to cognition. The final part of the paper will</w:t>
      </w:r>
      <w:r w:rsidR="00CD2D82" w:rsidRPr="00C80EC5">
        <w:rPr>
          <w:color w:val="595959" w:themeColor="text1" w:themeTint="A6"/>
        </w:rPr>
        <w:t xml:space="preserve"> take the previous sections as the point of departure for proposing</w:t>
      </w:r>
      <w:r w:rsidR="007A2711" w:rsidRPr="00C80EC5">
        <w:rPr>
          <w:color w:val="595959" w:themeColor="text1" w:themeTint="A6"/>
        </w:rPr>
        <w:t xml:space="preserve"> a</w:t>
      </w:r>
      <w:r w:rsidRPr="00C80EC5">
        <w:rPr>
          <w:color w:val="595959" w:themeColor="text1" w:themeTint="A6"/>
        </w:rPr>
        <w:t xml:space="preserve"> potential role for </w:t>
      </w:r>
      <w:r w:rsidR="006839B5" w:rsidRPr="00C80EC5">
        <w:rPr>
          <w:color w:val="595959" w:themeColor="text1" w:themeTint="A6"/>
        </w:rPr>
        <w:t>taste</w:t>
      </w:r>
      <w:r w:rsidR="00CD2D82" w:rsidRPr="00C80EC5">
        <w:rPr>
          <w:color w:val="595959" w:themeColor="text1" w:themeTint="A6"/>
        </w:rPr>
        <w:t xml:space="preserve"> in educational activities</w:t>
      </w:r>
      <w:r w:rsidR="00230700" w:rsidRPr="00C80EC5">
        <w:rPr>
          <w:color w:val="595959" w:themeColor="text1" w:themeTint="A6"/>
        </w:rPr>
        <w:t>.</w:t>
      </w:r>
      <w:r w:rsidR="00100514">
        <w:rPr>
          <w:color w:val="595959" w:themeColor="text1" w:themeTint="A6"/>
        </w:rPr>
        <w:t xml:space="preserve"> A role that merges a phenomenological approach to taste </w:t>
      </w:r>
      <w:r w:rsidR="00E446D8">
        <w:rPr>
          <w:color w:val="595959" w:themeColor="text1" w:themeTint="A6"/>
        </w:rPr>
        <w:t>and an approach to learning based on experience.</w:t>
      </w:r>
      <w:r w:rsidR="00CD2D82" w:rsidRPr="00C80EC5">
        <w:rPr>
          <w:color w:val="595959" w:themeColor="text1" w:themeTint="A6"/>
        </w:rPr>
        <w:t xml:space="preserve"> </w:t>
      </w:r>
      <w:r w:rsidR="00DC769A" w:rsidRPr="00C80EC5">
        <w:rPr>
          <w:color w:val="595959" w:themeColor="text1" w:themeTint="A6"/>
        </w:rPr>
        <w:t>Not with the purpose of providing a full account for the employment of taste in education, but as initial considerations on the possibilities that taste offers in the context of education.</w:t>
      </w:r>
      <w:r w:rsidR="007A2711" w:rsidRPr="00C80EC5">
        <w:rPr>
          <w:color w:val="595959" w:themeColor="text1" w:themeTint="A6"/>
        </w:rPr>
        <w:t xml:space="preserve"> </w:t>
      </w:r>
    </w:p>
    <w:p w:rsidR="00E823A7" w:rsidRPr="00C80EC5" w:rsidRDefault="00090515" w:rsidP="0091490B">
      <w:pPr>
        <w:pStyle w:val="Overskrift5"/>
        <w:spacing w:line="480" w:lineRule="auto"/>
        <w:ind w:left="0"/>
        <w:jc w:val="both"/>
        <w:rPr>
          <w:rStyle w:val="Svagfremhvning"/>
          <w:color w:val="365F91" w:themeColor="accent1" w:themeShade="BF"/>
        </w:rPr>
      </w:pPr>
      <w:r w:rsidRPr="00C80EC5">
        <w:rPr>
          <w:rStyle w:val="Svagfremhvning"/>
          <w:color w:val="365F91" w:themeColor="accent1" w:themeShade="BF"/>
        </w:rPr>
        <w:t>Merleau-Ponty’s synthesis of sensory impressions</w:t>
      </w:r>
    </w:p>
    <w:p w:rsidR="00457D06" w:rsidRPr="00C80EC5" w:rsidRDefault="00E35E13" w:rsidP="00E35E13">
      <w:pPr>
        <w:spacing w:line="480" w:lineRule="auto"/>
        <w:ind w:left="0"/>
        <w:jc w:val="both"/>
        <w:rPr>
          <w:color w:val="595959" w:themeColor="text1" w:themeTint="A6"/>
        </w:rPr>
      </w:pPr>
      <w:r w:rsidRPr="00C80EC5">
        <w:rPr>
          <w:color w:val="595959" w:themeColor="text1" w:themeTint="A6"/>
        </w:rPr>
        <w:t xml:space="preserve">Throughout his </w:t>
      </w:r>
      <w:proofErr w:type="spellStart"/>
      <w:r w:rsidRPr="00C80EC5">
        <w:rPr>
          <w:i/>
          <w:color w:val="595959" w:themeColor="text1" w:themeTint="A6"/>
        </w:rPr>
        <w:t>Phénoménologie</w:t>
      </w:r>
      <w:proofErr w:type="spellEnd"/>
      <w:r w:rsidRPr="00C80EC5">
        <w:rPr>
          <w:i/>
          <w:color w:val="595959" w:themeColor="text1" w:themeTint="A6"/>
        </w:rPr>
        <w:t xml:space="preserve"> de la perception, </w:t>
      </w:r>
      <w:r w:rsidRPr="00C80EC5">
        <w:rPr>
          <w:color w:val="595959" w:themeColor="text1" w:themeTint="A6"/>
        </w:rPr>
        <w:t xml:space="preserve">Maurice </w:t>
      </w:r>
      <w:proofErr w:type="spellStart"/>
      <w:r w:rsidRPr="00C80EC5">
        <w:rPr>
          <w:color w:val="595959" w:themeColor="text1" w:themeTint="A6"/>
        </w:rPr>
        <w:t>Merleau-Ponty</w:t>
      </w:r>
      <w:proofErr w:type="spellEnd"/>
      <w:r w:rsidRPr="00C80EC5">
        <w:rPr>
          <w:color w:val="595959" w:themeColor="text1" w:themeTint="A6"/>
        </w:rPr>
        <w:t xml:space="preserve"> formulated a critique of the fragmented and rational understanding of sensory experience embedded in the empirical sciences and proposed an alternative understanding that stresses the pre-reflective encounter with the world. </w:t>
      </w:r>
      <w:proofErr w:type="gramStart"/>
      <w:r w:rsidRPr="00C80EC5">
        <w:rPr>
          <w:color w:val="595959" w:themeColor="text1" w:themeTint="A6"/>
        </w:rPr>
        <w:t xml:space="preserve">An </w:t>
      </w:r>
      <w:r w:rsidR="00755D56" w:rsidRPr="00C80EC5">
        <w:rPr>
          <w:color w:val="595959" w:themeColor="text1" w:themeTint="A6"/>
        </w:rPr>
        <w:t>encounter through which sensory</w:t>
      </w:r>
      <w:r w:rsidRPr="00C80EC5">
        <w:rPr>
          <w:color w:val="595959" w:themeColor="text1" w:themeTint="A6"/>
        </w:rPr>
        <w:t xml:space="preserve"> experience is separated from the trivial appreciation of sight, sound and spatial </w:t>
      </w:r>
      <w:r w:rsidR="00616221" w:rsidRPr="00C80EC5">
        <w:rPr>
          <w:color w:val="595959" w:themeColor="text1" w:themeTint="A6"/>
        </w:rPr>
        <w:t>movement,</w:t>
      </w:r>
      <w:r w:rsidRPr="00C80EC5">
        <w:rPr>
          <w:color w:val="595959" w:themeColor="text1" w:themeTint="A6"/>
        </w:rPr>
        <w:t xml:space="preserve"> and is rearticulated as a synthesis uniting the sensory aspects and making them understandable.</w:t>
      </w:r>
      <w:proofErr w:type="gramEnd"/>
      <w:r w:rsidR="004924AF">
        <w:rPr>
          <w:rStyle w:val="Fodnotehenvisning"/>
          <w:color w:val="595959" w:themeColor="text1" w:themeTint="A6"/>
        </w:rPr>
        <w:footnoteReference w:id="17"/>
      </w:r>
      <w:r w:rsidRPr="00C80EC5">
        <w:rPr>
          <w:color w:val="595959" w:themeColor="text1" w:themeTint="A6"/>
        </w:rPr>
        <w:t xml:space="preserve"> </w:t>
      </w:r>
    </w:p>
    <w:p w:rsidR="00DA7759" w:rsidRPr="00C80EC5" w:rsidRDefault="00755D56" w:rsidP="00905C39">
      <w:pPr>
        <w:spacing w:line="480" w:lineRule="auto"/>
        <w:ind w:left="0"/>
        <w:jc w:val="both"/>
        <w:rPr>
          <w:color w:val="595959" w:themeColor="text1" w:themeTint="A6"/>
        </w:rPr>
      </w:pPr>
      <w:r w:rsidRPr="00C80EC5">
        <w:rPr>
          <w:color w:val="595959" w:themeColor="text1" w:themeTint="A6"/>
        </w:rPr>
        <w:t xml:space="preserve">In this context, </w:t>
      </w:r>
      <w:r w:rsidR="0058292C" w:rsidRPr="00C80EC5">
        <w:rPr>
          <w:color w:val="595959" w:themeColor="text1" w:themeTint="A6"/>
        </w:rPr>
        <w:t>sensations are not</w:t>
      </w:r>
      <w:r w:rsidR="00230700" w:rsidRPr="00C80EC5">
        <w:rPr>
          <w:color w:val="595959" w:themeColor="text1" w:themeTint="A6"/>
        </w:rPr>
        <w:t xml:space="preserve"> understood in terms of being</w:t>
      </w:r>
      <w:r w:rsidR="00292150" w:rsidRPr="00C80EC5">
        <w:rPr>
          <w:color w:val="595959" w:themeColor="text1" w:themeTint="A6"/>
        </w:rPr>
        <w:t xml:space="preserve"> caused by external stimuli</w:t>
      </w:r>
      <w:r w:rsidR="0058292C" w:rsidRPr="00C80EC5">
        <w:rPr>
          <w:color w:val="595959" w:themeColor="text1" w:themeTint="A6"/>
        </w:rPr>
        <w:t xml:space="preserve"> and </w:t>
      </w:r>
      <w:r w:rsidRPr="00C80EC5">
        <w:rPr>
          <w:color w:val="595959" w:themeColor="text1" w:themeTint="A6"/>
        </w:rPr>
        <w:t>sensory experience is not</w:t>
      </w:r>
      <w:r w:rsidR="0058292C" w:rsidRPr="00C80EC5">
        <w:rPr>
          <w:color w:val="595959" w:themeColor="text1" w:themeTint="A6"/>
        </w:rPr>
        <w:t xml:space="preserve"> </w:t>
      </w:r>
      <w:r w:rsidR="005E2374" w:rsidRPr="00C80EC5">
        <w:rPr>
          <w:color w:val="595959" w:themeColor="text1" w:themeTint="A6"/>
        </w:rPr>
        <w:t>conceived</w:t>
      </w:r>
      <w:r w:rsidR="00230700" w:rsidRPr="00C80EC5">
        <w:rPr>
          <w:color w:val="595959" w:themeColor="text1" w:themeTint="A6"/>
        </w:rPr>
        <w:t xml:space="preserve"> as </w:t>
      </w:r>
      <w:r w:rsidR="0058292C" w:rsidRPr="00C80EC5">
        <w:rPr>
          <w:color w:val="595959" w:themeColor="text1" w:themeTint="A6"/>
        </w:rPr>
        <w:t>a compilation of mental s</w:t>
      </w:r>
      <w:r w:rsidR="00E26B6F">
        <w:rPr>
          <w:color w:val="595959" w:themeColor="text1" w:themeTint="A6"/>
        </w:rPr>
        <w:t>tates</w:t>
      </w:r>
      <w:r w:rsidR="00292150" w:rsidRPr="00C80EC5">
        <w:rPr>
          <w:color w:val="595959" w:themeColor="text1" w:themeTint="A6"/>
        </w:rPr>
        <w:t>.</w:t>
      </w:r>
      <w:r w:rsidR="00E26B6F">
        <w:rPr>
          <w:rStyle w:val="Fodnotehenvisning"/>
          <w:color w:val="595959" w:themeColor="text1" w:themeTint="A6"/>
        </w:rPr>
        <w:footnoteReference w:id="18"/>
      </w:r>
      <w:r w:rsidR="00292150" w:rsidRPr="00C80EC5">
        <w:rPr>
          <w:color w:val="595959" w:themeColor="text1" w:themeTint="A6"/>
        </w:rPr>
        <w:t xml:space="preserve"> </w:t>
      </w:r>
      <w:r w:rsidR="00DC6A13" w:rsidRPr="00C80EC5">
        <w:rPr>
          <w:color w:val="595959" w:themeColor="text1" w:themeTint="A6"/>
        </w:rPr>
        <w:t>Sensory experience is embodied, and</w:t>
      </w:r>
      <w:r w:rsidR="00292150" w:rsidRPr="00C80EC5">
        <w:rPr>
          <w:color w:val="595959" w:themeColor="text1" w:themeTint="A6"/>
        </w:rPr>
        <w:t xml:space="preserve"> </w:t>
      </w:r>
      <w:r w:rsidR="005E2374" w:rsidRPr="00C80EC5">
        <w:rPr>
          <w:color w:val="595959" w:themeColor="text1" w:themeTint="A6"/>
        </w:rPr>
        <w:t>even if</w:t>
      </w:r>
      <w:r w:rsidR="00292150" w:rsidRPr="00C80EC5">
        <w:rPr>
          <w:color w:val="595959" w:themeColor="text1" w:themeTint="A6"/>
        </w:rPr>
        <w:t xml:space="preserve"> we can observe both the body of others and our own body, the body is not </w:t>
      </w:r>
      <w:r w:rsidR="00FF7C47" w:rsidRPr="00C80EC5">
        <w:rPr>
          <w:color w:val="595959" w:themeColor="text1" w:themeTint="A6"/>
        </w:rPr>
        <w:t>analogous with</w:t>
      </w:r>
      <w:r w:rsidR="00B47DBE" w:rsidRPr="00C80EC5">
        <w:rPr>
          <w:color w:val="595959" w:themeColor="text1" w:themeTint="A6"/>
        </w:rPr>
        <w:t xml:space="preserve"> an object that can be studied</w:t>
      </w:r>
      <w:r w:rsidR="00DC6A13" w:rsidRPr="00C80EC5">
        <w:rPr>
          <w:color w:val="595959" w:themeColor="text1" w:themeTint="A6"/>
        </w:rPr>
        <w:t xml:space="preserve"> according to the criteria of the empirical sciences</w:t>
      </w:r>
      <w:r w:rsidR="00B47DBE" w:rsidRPr="00C80EC5">
        <w:rPr>
          <w:color w:val="595959" w:themeColor="text1" w:themeTint="A6"/>
        </w:rPr>
        <w:t xml:space="preserve">. Instead </w:t>
      </w:r>
      <w:proofErr w:type="spellStart"/>
      <w:r w:rsidR="00B47DBE" w:rsidRPr="00C80EC5">
        <w:rPr>
          <w:color w:val="595959" w:themeColor="text1" w:themeTint="A6"/>
        </w:rPr>
        <w:t>Merleau-Ponty</w:t>
      </w:r>
      <w:proofErr w:type="spellEnd"/>
      <w:r w:rsidR="00B47DBE" w:rsidRPr="00C80EC5">
        <w:rPr>
          <w:color w:val="595959" w:themeColor="text1" w:themeTint="A6"/>
        </w:rPr>
        <w:t xml:space="preserve"> emphasised the body as the fundamental condition for experience</w:t>
      </w:r>
      <w:r w:rsidR="003A5BC8" w:rsidRPr="00C80EC5">
        <w:rPr>
          <w:color w:val="595959" w:themeColor="text1" w:themeTint="A6"/>
        </w:rPr>
        <w:t xml:space="preserve"> in the sense that being an experiencing subject is </w:t>
      </w:r>
      <w:r w:rsidR="00C631C0" w:rsidRPr="00C80EC5">
        <w:rPr>
          <w:color w:val="595959" w:themeColor="text1" w:themeTint="A6"/>
        </w:rPr>
        <w:t xml:space="preserve">being </w:t>
      </w:r>
      <w:r w:rsidR="00C631C0" w:rsidRPr="00E03E97">
        <w:rPr>
          <w:color w:val="595959" w:themeColor="text1" w:themeTint="A6"/>
        </w:rPr>
        <w:t xml:space="preserve">immersed </w:t>
      </w:r>
      <w:r w:rsidR="00C631C0" w:rsidRPr="00E03E97">
        <w:rPr>
          <w:color w:val="595959" w:themeColor="text1" w:themeTint="A6"/>
        </w:rPr>
        <w:lastRenderedPageBreak/>
        <w:t xml:space="preserve">in a persistent relationship </w:t>
      </w:r>
      <w:r w:rsidR="00C631C0" w:rsidRPr="00C80EC5">
        <w:rPr>
          <w:color w:val="595959" w:themeColor="text1" w:themeTint="A6"/>
        </w:rPr>
        <w:t>w</w:t>
      </w:r>
      <w:r w:rsidR="003A5BC8" w:rsidRPr="00C80EC5">
        <w:rPr>
          <w:color w:val="595959" w:themeColor="text1" w:themeTint="A6"/>
        </w:rPr>
        <w:t xml:space="preserve">ith the world and the other beings in the </w:t>
      </w:r>
      <w:r w:rsidR="00E26B6F">
        <w:rPr>
          <w:color w:val="595959" w:themeColor="text1" w:themeTint="A6"/>
        </w:rPr>
        <w:t>world</w:t>
      </w:r>
      <w:r w:rsidR="003A5BC8" w:rsidRPr="00C80EC5">
        <w:rPr>
          <w:color w:val="595959" w:themeColor="text1" w:themeTint="A6"/>
        </w:rPr>
        <w:t>.</w:t>
      </w:r>
      <w:r w:rsidR="00E26B6F">
        <w:rPr>
          <w:rStyle w:val="Fodnotehenvisning"/>
          <w:color w:val="595959" w:themeColor="text1" w:themeTint="A6"/>
        </w:rPr>
        <w:footnoteReference w:id="19"/>
      </w:r>
      <w:r w:rsidR="00DA7759" w:rsidRPr="00C80EC5">
        <w:rPr>
          <w:color w:val="595959" w:themeColor="text1" w:themeTint="A6"/>
        </w:rPr>
        <w:t xml:space="preserve"> </w:t>
      </w:r>
      <w:r w:rsidR="00905C39" w:rsidRPr="00C80EC5">
        <w:rPr>
          <w:color w:val="595959" w:themeColor="text1" w:themeTint="A6"/>
        </w:rPr>
        <w:t xml:space="preserve">The attention is, hence, directed towards the subject of experience – not with the purpose of neglecting </w:t>
      </w:r>
      <w:r w:rsidR="007675BB" w:rsidRPr="00C80EC5">
        <w:rPr>
          <w:color w:val="595959" w:themeColor="text1" w:themeTint="A6"/>
        </w:rPr>
        <w:t xml:space="preserve">what </w:t>
      </w:r>
      <w:r w:rsidR="00905C39" w:rsidRPr="00C80EC5">
        <w:rPr>
          <w:color w:val="595959" w:themeColor="text1" w:themeTint="A6"/>
        </w:rPr>
        <w:t>the experience</w:t>
      </w:r>
      <w:r w:rsidR="007675BB" w:rsidRPr="00C80EC5">
        <w:rPr>
          <w:color w:val="595959" w:themeColor="text1" w:themeTint="A6"/>
        </w:rPr>
        <w:t xml:space="preserve"> is directed towards</w:t>
      </w:r>
      <w:r w:rsidR="00905C39" w:rsidRPr="00C80EC5">
        <w:rPr>
          <w:color w:val="595959" w:themeColor="text1" w:themeTint="A6"/>
        </w:rPr>
        <w:t xml:space="preserve">, but as </w:t>
      </w:r>
      <w:r w:rsidR="00DA7759" w:rsidRPr="00C80EC5">
        <w:t>a change in interest through which the differentiation between the concrete experience of an intended object and the fundamental conditions for such experience is accentuated</w:t>
      </w:r>
      <w:r w:rsidR="00905C39" w:rsidRPr="00C80EC5">
        <w:t xml:space="preserve">. </w:t>
      </w:r>
      <w:r w:rsidR="00CF55C3" w:rsidRPr="00C80EC5">
        <w:t xml:space="preserve">In this perspective, </w:t>
      </w:r>
      <w:proofErr w:type="spellStart"/>
      <w:r w:rsidR="00985732" w:rsidRPr="00C80EC5">
        <w:t>Merleau-Ponty</w:t>
      </w:r>
      <w:proofErr w:type="spellEnd"/>
      <w:r w:rsidR="00985732" w:rsidRPr="00C80EC5">
        <w:t xml:space="preserve"> </w:t>
      </w:r>
      <w:proofErr w:type="spellStart"/>
      <w:r w:rsidR="00985732" w:rsidRPr="00C80EC5">
        <w:t>thematised</w:t>
      </w:r>
      <w:proofErr w:type="spellEnd"/>
      <w:r w:rsidR="00985732" w:rsidRPr="00C80EC5">
        <w:t xml:space="preserve"> our incomplete experience of our environmen</w:t>
      </w:r>
      <w:r w:rsidR="00A8641E" w:rsidRPr="00C80EC5">
        <w:t>t as a correlation of present and absent profiles that appear to us as recognisable due to our capacity for mov</w:t>
      </w:r>
      <w:r w:rsidR="00E26B6F">
        <w:t>ement</w:t>
      </w:r>
      <w:r w:rsidR="00A8641E" w:rsidRPr="00C80EC5">
        <w:t>.</w:t>
      </w:r>
      <w:r w:rsidR="00E26B6F">
        <w:rPr>
          <w:rStyle w:val="Fodnotehenvisning"/>
        </w:rPr>
        <w:footnoteReference w:id="20"/>
      </w:r>
      <w:r w:rsidR="00976070" w:rsidRPr="00C80EC5">
        <w:t xml:space="preserve"> Or, to state it otherwise, it is our capacity for movement that</w:t>
      </w:r>
      <w:r w:rsidR="005E2374" w:rsidRPr="00C80EC5">
        <w:t xml:space="preserve"> is fundamental to the</w:t>
      </w:r>
      <w:r w:rsidR="00976070" w:rsidRPr="00C80EC5">
        <w:t xml:space="preserve"> unity of senses that we encounter in th</w:t>
      </w:r>
      <w:r w:rsidR="005C321E">
        <w:t>e elementary</w:t>
      </w:r>
      <w:r w:rsidR="00976070" w:rsidRPr="00C80EC5">
        <w:t xml:space="preserve"> form of sensory experience in which all senses partake</w:t>
      </w:r>
      <w:r w:rsidR="00A8641E" w:rsidRPr="00C80EC5">
        <w:t xml:space="preserve"> </w:t>
      </w:r>
      <w:r w:rsidR="00976070" w:rsidRPr="00C80EC5">
        <w:t>and translate into one another without the need for interpretation</w:t>
      </w:r>
      <w:r w:rsidR="00175D66" w:rsidRPr="00C80EC5">
        <w:t>.</w:t>
      </w:r>
      <w:r w:rsidR="00E26B6F">
        <w:rPr>
          <w:rStyle w:val="Fodnotehenvisning"/>
        </w:rPr>
        <w:footnoteReference w:id="21"/>
      </w:r>
      <w:r w:rsidR="007675BB" w:rsidRPr="00C80EC5">
        <w:t xml:space="preserve"> </w:t>
      </w:r>
    </w:p>
    <w:p w:rsidR="009167D4" w:rsidRPr="00C80EC5" w:rsidRDefault="00E35E13" w:rsidP="00E35E13">
      <w:pPr>
        <w:spacing w:line="480" w:lineRule="auto"/>
        <w:ind w:left="0"/>
        <w:jc w:val="both"/>
        <w:rPr>
          <w:color w:val="595959" w:themeColor="text1" w:themeTint="A6"/>
        </w:rPr>
      </w:pPr>
      <w:r w:rsidRPr="00C80EC5">
        <w:rPr>
          <w:color w:val="595959" w:themeColor="text1" w:themeTint="A6"/>
        </w:rPr>
        <w:t>There is no explicit hierarchy among the senses</w:t>
      </w:r>
      <w:r w:rsidR="00F12A92" w:rsidRPr="00C80EC5">
        <w:rPr>
          <w:color w:val="595959" w:themeColor="text1" w:themeTint="A6"/>
        </w:rPr>
        <w:t xml:space="preserve"> in the </w:t>
      </w:r>
      <w:proofErr w:type="spellStart"/>
      <w:r w:rsidR="00F12A92" w:rsidRPr="00C80EC5">
        <w:rPr>
          <w:i/>
          <w:color w:val="595959" w:themeColor="text1" w:themeTint="A6"/>
        </w:rPr>
        <w:t>Phénoménologie</w:t>
      </w:r>
      <w:proofErr w:type="spellEnd"/>
      <w:r w:rsidR="00F12A92" w:rsidRPr="00C80EC5">
        <w:rPr>
          <w:i/>
          <w:color w:val="595959" w:themeColor="text1" w:themeTint="A6"/>
        </w:rPr>
        <w:t xml:space="preserve"> de la perception</w:t>
      </w:r>
      <w:r w:rsidRPr="00C80EC5">
        <w:rPr>
          <w:color w:val="595959" w:themeColor="text1" w:themeTint="A6"/>
        </w:rPr>
        <w:t xml:space="preserve">. </w:t>
      </w:r>
      <w:r w:rsidR="00D95D7D" w:rsidRPr="00C80EC5">
        <w:rPr>
          <w:color w:val="595959" w:themeColor="text1" w:themeTint="A6"/>
        </w:rPr>
        <w:t xml:space="preserve">Unlike Aristotle who </w:t>
      </w:r>
      <w:r w:rsidR="00D95D7D" w:rsidRPr="00C80EC5">
        <w:t xml:space="preserve">positioned sight as superior to the other senses in the very first sentence in his </w:t>
      </w:r>
      <w:r w:rsidR="00D95D7D" w:rsidRPr="00C80EC5">
        <w:rPr>
          <w:i/>
        </w:rPr>
        <w:t>Metaphysi</w:t>
      </w:r>
      <w:r w:rsidR="003B7796">
        <w:rPr>
          <w:i/>
        </w:rPr>
        <w:t>cs</w:t>
      </w:r>
      <w:r w:rsidR="00DE4442">
        <w:rPr>
          <w:rStyle w:val="Fodnotehenvisning"/>
        </w:rPr>
        <w:footnoteReference w:id="22"/>
      </w:r>
      <w:r w:rsidR="00175D66" w:rsidRPr="00C80EC5">
        <w:t xml:space="preserve"> and Descartes who</w:t>
      </w:r>
      <w:r w:rsidR="001A76C7" w:rsidRPr="00C80EC5">
        <w:t xml:space="preserve"> called sight the noblest of the senses</w:t>
      </w:r>
      <w:r w:rsidR="00ED4A28">
        <w:rPr>
          <w:rStyle w:val="Fodnotehenvisning"/>
        </w:rPr>
        <w:footnoteReference w:id="23"/>
      </w:r>
      <w:r w:rsidR="00D95D7D" w:rsidRPr="00C80EC5">
        <w:t xml:space="preserve">, </w:t>
      </w:r>
      <w:proofErr w:type="spellStart"/>
      <w:r w:rsidR="00D95D7D" w:rsidRPr="00C80EC5">
        <w:t>Merleau-Ponty</w:t>
      </w:r>
      <w:proofErr w:type="spellEnd"/>
      <w:r w:rsidR="00D95D7D" w:rsidRPr="00C80EC5">
        <w:t xml:space="preserve"> emphasised the</w:t>
      </w:r>
      <w:r w:rsidR="00612BC1" w:rsidRPr="00C80EC5">
        <w:t xml:space="preserve"> </w:t>
      </w:r>
      <w:r w:rsidR="00612BC1" w:rsidRPr="00DA2823">
        <w:rPr>
          <w:color w:val="595959" w:themeColor="text1" w:themeTint="A6"/>
        </w:rPr>
        <w:t xml:space="preserve">equal importance </w:t>
      </w:r>
      <w:r w:rsidR="00612BC1" w:rsidRPr="00C80EC5">
        <w:t xml:space="preserve">of all senses in our encounter with the </w:t>
      </w:r>
      <w:r w:rsidR="00685053">
        <w:t>world</w:t>
      </w:r>
      <w:r w:rsidR="00685053">
        <w:rPr>
          <w:rStyle w:val="Fodnotehenvisning"/>
        </w:rPr>
        <w:footnoteReference w:id="24"/>
      </w:r>
      <w:r w:rsidR="00D95D7D" w:rsidRPr="00C80EC5">
        <w:t xml:space="preserve">. </w:t>
      </w:r>
      <w:r w:rsidR="00616221" w:rsidRPr="00C80EC5">
        <w:t>Taking this into account</w:t>
      </w:r>
      <w:r w:rsidR="00341E7D" w:rsidRPr="00C80EC5">
        <w:rPr>
          <w:color w:val="595959" w:themeColor="text1" w:themeTint="A6"/>
        </w:rPr>
        <w:t>, i</w:t>
      </w:r>
      <w:r w:rsidRPr="00C80EC5">
        <w:rPr>
          <w:color w:val="595959" w:themeColor="text1" w:themeTint="A6"/>
        </w:rPr>
        <w:t>t is</w:t>
      </w:r>
      <w:r w:rsidR="00341E7D" w:rsidRPr="00C80EC5">
        <w:rPr>
          <w:color w:val="595959" w:themeColor="text1" w:themeTint="A6"/>
        </w:rPr>
        <w:t xml:space="preserve"> </w:t>
      </w:r>
      <w:r w:rsidRPr="00C80EC5">
        <w:rPr>
          <w:color w:val="595959" w:themeColor="text1" w:themeTint="A6"/>
        </w:rPr>
        <w:t xml:space="preserve">noticeable that </w:t>
      </w:r>
      <w:proofErr w:type="spellStart"/>
      <w:r w:rsidRPr="00C80EC5">
        <w:rPr>
          <w:color w:val="595959" w:themeColor="text1" w:themeTint="A6"/>
        </w:rPr>
        <w:t>Merleau-Ponty</w:t>
      </w:r>
      <w:proofErr w:type="spellEnd"/>
      <w:r w:rsidRPr="00C80EC5">
        <w:rPr>
          <w:color w:val="595959" w:themeColor="text1" w:themeTint="A6"/>
        </w:rPr>
        <w:t xml:space="preserve"> </w:t>
      </w:r>
      <w:r w:rsidR="00175D66" w:rsidRPr="00C80EC5">
        <w:rPr>
          <w:color w:val="595959" w:themeColor="text1" w:themeTint="A6"/>
        </w:rPr>
        <w:t xml:space="preserve">actually </w:t>
      </w:r>
      <w:r w:rsidRPr="00C80EC5">
        <w:rPr>
          <w:color w:val="595959" w:themeColor="text1" w:themeTint="A6"/>
        </w:rPr>
        <w:t>prioritised sight and the correlation of sight and mov</w:t>
      </w:r>
      <w:r w:rsidR="0099024F" w:rsidRPr="00C80EC5">
        <w:rPr>
          <w:color w:val="595959" w:themeColor="text1" w:themeTint="A6"/>
        </w:rPr>
        <w:t>ement</w:t>
      </w:r>
      <w:r w:rsidRPr="00C80EC5">
        <w:rPr>
          <w:color w:val="595959" w:themeColor="text1" w:themeTint="A6"/>
        </w:rPr>
        <w:t>. This synthesis is brought up in a number of varieties. It is exemplified in the recognition of a cube through the correlation of sight and the experience of mob</w:t>
      </w:r>
      <w:r w:rsidR="00685053">
        <w:rPr>
          <w:color w:val="595959" w:themeColor="text1" w:themeTint="A6"/>
        </w:rPr>
        <w:t>ility</w:t>
      </w:r>
      <w:r w:rsidRPr="00C80EC5">
        <w:rPr>
          <w:color w:val="595959" w:themeColor="text1" w:themeTint="A6"/>
        </w:rPr>
        <w:t>.</w:t>
      </w:r>
      <w:r w:rsidR="00685053">
        <w:rPr>
          <w:rStyle w:val="Fodnotehenvisning"/>
          <w:color w:val="595959" w:themeColor="text1" w:themeTint="A6"/>
        </w:rPr>
        <w:footnoteReference w:id="25"/>
      </w:r>
      <w:r w:rsidRPr="00C80EC5">
        <w:rPr>
          <w:color w:val="595959" w:themeColor="text1" w:themeTint="A6"/>
        </w:rPr>
        <w:t xml:space="preserve"> And, it is illustrated in the</w:t>
      </w:r>
      <w:r w:rsidR="006D46A2">
        <w:rPr>
          <w:color w:val="595959" w:themeColor="text1" w:themeTint="A6"/>
        </w:rPr>
        <w:t xml:space="preserve"> aforementioned</w:t>
      </w:r>
      <w:r w:rsidRPr="00C80EC5">
        <w:rPr>
          <w:color w:val="595959" w:themeColor="text1" w:themeTint="A6"/>
        </w:rPr>
        <w:t xml:space="preserve"> acknowledgement of vision as limited due to the momentary position of the body, yet open to new perspectives through mov</w:t>
      </w:r>
      <w:r w:rsidR="00685053">
        <w:rPr>
          <w:color w:val="595959" w:themeColor="text1" w:themeTint="A6"/>
        </w:rPr>
        <w:t>ement</w:t>
      </w:r>
      <w:r w:rsidRPr="00C80EC5">
        <w:rPr>
          <w:color w:val="595959" w:themeColor="text1" w:themeTint="A6"/>
        </w:rPr>
        <w:t>.</w:t>
      </w:r>
      <w:r w:rsidR="00685053">
        <w:rPr>
          <w:rStyle w:val="Fodnotehenvisning"/>
          <w:color w:val="595959" w:themeColor="text1" w:themeTint="A6"/>
        </w:rPr>
        <w:footnoteReference w:id="26"/>
      </w:r>
      <w:r w:rsidRPr="00C80EC5">
        <w:rPr>
          <w:color w:val="595959" w:themeColor="text1" w:themeTint="A6"/>
        </w:rPr>
        <w:t xml:space="preserve"> Furthermore, it is outlined in the context of experiments through which the correlation between sight</w:t>
      </w:r>
      <w:r w:rsidR="00685053">
        <w:rPr>
          <w:color w:val="595959" w:themeColor="text1" w:themeTint="A6"/>
        </w:rPr>
        <w:t xml:space="preserve"> and movement is altered</w:t>
      </w:r>
      <w:r w:rsidRPr="00C80EC5">
        <w:rPr>
          <w:color w:val="595959" w:themeColor="text1" w:themeTint="A6"/>
        </w:rPr>
        <w:t>.</w:t>
      </w:r>
      <w:r w:rsidR="00685053">
        <w:rPr>
          <w:rStyle w:val="Fodnotehenvisning"/>
          <w:color w:val="595959" w:themeColor="text1" w:themeTint="A6"/>
        </w:rPr>
        <w:footnoteReference w:id="27"/>
      </w:r>
      <w:r w:rsidRPr="00C80EC5">
        <w:rPr>
          <w:color w:val="595959" w:themeColor="text1" w:themeTint="A6"/>
        </w:rPr>
        <w:t xml:space="preserve"> Tactility is </w:t>
      </w:r>
      <w:proofErr w:type="spellStart"/>
      <w:r w:rsidRPr="00C80EC5">
        <w:rPr>
          <w:color w:val="595959" w:themeColor="text1" w:themeTint="A6"/>
        </w:rPr>
        <w:t>thematised</w:t>
      </w:r>
      <w:proofErr w:type="spellEnd"/>
      <w:r w:rsidRPr="00C80EC5">
        <w:rPr>
          <w:color w:val="595959" w:themeColor="text1" w:themeTint="A6"/>
        </w:rPr>
        <w:t xml:space="preserve"> in the context of sight and movement as a mode of apparition through which terms such as the rough and the smooth are understoo</w:t>
      </w:r>
      <w:r w:rsidR="00685053">
        <w:rPr>
          <w:color w:val="595959" w:themeColor="text1" w:themeTint="A6"/>
        </w:rPr>
        <w:t>d</w:t>
      </w:r>
      <w:r w:rsidR="00685053">
        <w:rPr>
          <w:rStyle w:val="Fodnotehenvisning"/>
          <w:color w:val="595959" w:themeColor="text1" w:themeTint="A6"/>
        </w:rPr>
        <w:footnoteReference w:id="28"/>
      </w:r>
      <w:r w:rsidRPr="00C80EC5">
        <w:rPr>
          <w:color w:val="595959" w:themeColor="text1" w:themeTint="A6"/>
        </w:rPr>
        <w:t>, and it is illustrated through the synthesis of sight and touch in the identification of a table as the same table that is seen by the eye and felt by the</w:t>
      </w:r>
      <w:r w:rsidR="00C3174B">
        <w:rPr>
          <w:color w:val="595959" w:themeColor="text1" w:themeTint="A6"/>
        </w:rPr>
        <w:t xml:space="preserve"> hand</w:t>
      </w:r>
      <w:r w:rsidR="00C3174B">
        <w:rPr>
          <w:rStyle w:val="Fodnotehenvisning"/>
          <w:color w:val="595959" w:themeColor="text1" w:themeTint="A6"/>
        </w:rPr>
        <w:footnoteReference w:id="29"/>
      </w:r>
      <w:r w:rsidRPr="00C80EC5">
        <w:rPr>
          <w:color w:val="595959" w:themeColor="text1" w:themeTint="A6"/>
        </w:rPr>
        <w:t xml:space="preserve">. Audible perception is mentioned in passing when </w:t>
      </w:r>
      <w:r w:rsidR="0041097E" w:rsidRPr="00C80EC5">
        <w:rPr>
          <w:color w:val="595959" w:themeColor="text1" w:themeTint="A6"/>
        </w:rPr>
        <w:t>criticising the concept of sensation</w:t>
      </w:r>
      <w:r w:rsidR="00E121D9" w:rsidRPr="00C80EC5">
        <w:rPr>
          <w:color w:val="595959" w:themeColor="text1" w:themeTint="A6"/>
        </w:rPr>
        <w:t xml:space="preserve"> in the empirical </w:t>
      </w:r>
      <w:r w:rsidR="00E121D9" w:rsidRPr="00C80EC5">
        <w:rPr>
          <w:color w:val="595959" w:themeColor="text1" w:themeTint="A6"/>
        </w:rPr>
        <w:lastRenderedPageBreak/>
        <w:t>sciences in the process of approaching a definition covering</w:t>
      </w:r>
      <w:r w:rsidR="0041097E" w:rsidRPr="00C80EC5">
        <w:rPr>
          <w:color w:val="595959" w:themeColor="text1" w:themeTint="A6"/>
        </w:rPr>
        <w:t xml:space="preserve"> the correlation of sight and hearing as phenome</w:t>
      </w:r>
      <w:r w:rsidR="00C3174B">
        <w:rPr>
          <w:color w:val="595959" w:themeColor="text1" w:themeTint="A6"/>
        </w:rPr>
        <w:t>na</w:t>
      </w:r>
      <w:r w:rsidRPr="00C80EC5">
        <w:rPr>
          <w:color w:val="595959" w:themeColor="text1" w:themeTint="A6"/>
        </w:rPr>
        <w:t>.</w:t>
      </w:r>
      <w:r w:rsidR="00C3174B">
        <w:rPr>
          <w:rStyle w:val="Fodnotehenvisning"/>
          <w:color w:val="595959" w:themeColor="text1" w:themeTint="A6"/>
        </w:rPr>
        <w:footnoteReference w:id="30"/>
      </w:r>
      <w:r w:rsidRPr="00C80EC5">
        <w:rPr>
          <w:color w:val="595959" w:themeColor="text1" w:themeTint="A6"/>
        </w:rPr>
        <w:t xml:space="preserve"> </w:t>
      </w:r>
    </w:p>
    <w:p w:rsidR="00E35E13" w:rsidRPr="00C80EC5" w:rsidRDefault="00E35E13" w:rsidP="00E35E13">
      <w:pPr>
        <w:spacing w:line="480" w:lineRule="auto"/>
        <w:ind w:left="0"/>
        <w:jc w:val="both"/>
        <w:rPr>
          <w:rStyle w:val="Fremhv"/>
          <w:caps w:val="0"/>
          <w:color w:val="595959" w:themeColor="text1" w:themeTint="A6"/>
          <w:spacing w:val="0"/>
        </w:rPr>
      </w:pPr>
      <w:r w:rsidRPr="00C80EC5">
        <w:rPr>
          <w:color w:val="595959" w:themeColor="text1" w:themeTint="A6"/>
        </w:rPr>
        <w:t xml:space="preserve">When it comes to smell and taste, however, the </w:t>
      </w:r>
      <w:proofErr w:type="spellStart"/>
      <w:r w:rsidRPr="00C80EC5">
        <w:rPr>
          <w:color w:val="595959" w:themeColor="text1" w:themeTint="A6"/>
        </w:rPr>
        <w:t>thematisation</w:t>
      </w:r>
      <w:proofErr w:type="spellEnd"/>
      <w:r w:rsidRPr="00C80EC5">
        <w:rPr>
          <w:color w:val="595959" w:themeColor="text1" w:themeTint="A6"/>
        </w:rPr>
        <w:t xml:space="preserve"> is sparse – in the case of taste, it is even absent. There is no explicit justification for this disregard. As the dominant critique in the </w:t>
      </w:r>
      <w:proofErr w:type="spellStart"/>
      <w:r w:rsidRPr="00C80EC5">
        <w:rPr>
          <w:i/>
          <w:color w:val="595959" w:themeColor="text1" w:themeTint="A6"/>
        </w:rPr>
        <w:t>Phénoménologie</w:t>
      </w:r>
      <w:proofErr w:type="spellEnd"/>
      <w:r w:rsidRPr="00C80EC5">
        <w:rPr>
          <w:i/>
          <w:color w:val="595959" w:themeColor="text1" w:themeTint="A6"/>
        </w:rPr>
        <w:t xml:space="preserve"> de la perception</w:t>
      </w:r>
      <w:r w:rsidRPr="00C80EC5">
        <w:rPr>
          <w:color w:val="595959" w:themeColor="text1" w:themeTint="A6"/>
        </w:rPr>
        <w:t xml:space="preserve"> is</w:t>
      </w:r>
      <w:r w:rsidR="00F955A5" w:rsidRPr="00C80EC5">
        <w:rPr>
          <w:color w:val="595959" w:themeColor="text1" w:themeTint="A6"/>
        </w:rPr>
        <w:t xml:space="preserve"> target</w:t>
      </w:r>
      <w:r w:rsidR="0040546B" w:rsidRPr="00C80EC5">
        <w:rPr>
          <w:color w:val="595959" w:themeColor="text1" w:themeTint="A6"/>
        </w:rPr>
        <w:t>ing</w:t>
      </w:r>
      <w:r w:rsidRPr="00C80EC5">
        <w:rPr>
          <w:color w:val="595959" w:themeColor="text1" w:themeTint="A6"/>
        </w:rPr>
        <w:t xml:space="preserve"> the narrow understanding of sensory experience in the empirical sciences, a likely motivation for leaving the o</w:t>
      </w:r>
      <w:r w:rsidR="00D95D7D" w:rsidRPr="00C80EC5">
        <w:rPr>
          <w:color w:val="595959" w:themeColor="text1" w:themeTint="A6"/>
        </w:rPr>
        <w:t>lfactory and the gustatory sensations</w:t>
      </w:r>
      <w:r w:rsidRPr="00C80EC5">
        <w:rPr>
          <w:color w:val="595959" w:themeColor="text1" w:themeTint="A6"/>
        </w:rPr>
        <w:t xml:space="preserve"> in the margins </w:t>
      </w:r>
      <w:r w:rsidR="00CE60EC" w:rsidRPr="00C80EC5">
        <w:rPr>
          <w:color w:val="595959" w:themeColor="text1" w:themeTint="A6"/>
        </w:rPr>
        <w:t>may well</w:t>
      </w:r>
      <w:r w:rsidRPr="00C80EC5">
        <w:rPr>
          <w:color w:val="595959" w:themeColor="text1" w:themeTint="A6"/>
        </w:rPr>
        <w:t xml:space="preserve"> be the limited scientific interest in these two senses. Sight, sound and touch are instrumental to the empirical sciences</w:t>
      </w:r>
      <w:r w:rsidR="00D95D7D" w:rsidRPr="00C80EC5">
        <w:rPr>
          <w:color w:val="595959" w:themeColor="text1" w:themeTint="A6"/>
        </w:rPr>
        <w:t>, whereas smell and taste are peripheral</w:t>
      </w:r>
      <w:r w:rsidRPr="00C80EC5">
        <w:rPr>
          <w:color w:val="595959" w:themeColor="text1" w:themeTint="A6"/>
        </w:rPr>
        <w:t xml:space="preserve">. </w:t>
      </w:r>
      <w:r w:rsidR="00F955A5" w:rsidRPr="00C80EC5">
        <w:rPr>
          <w:color w:val="595959" w:themeColor="text1" w:themeTint="A6"/>
        </w:rPr>
        <w:t xml:space="preserve">In the </w:t>
      </w:r>
      <w:proofErr w:type="spellStart"/>
      <w:r w:rsidR="00F955A5" w:rsidRPr="00C80EC5">
        <w:rPr>
          <w:i/>
          <w:color w:val="595959" w:themeColor="text1" w:themeTint="A6"/>
        </w:rPr>
        <w:t>Phénoménologie</w:t>
      </w:r>
      <w:proofErr w:type="spellEnd"/>
      <w:r w:rsidR="00F955A5" w:rsidRPr="00C80EC5">
        <w:rPr>
          <w:i/>
          <w:color w:val="595959" w:themeColor="text1" w:themeTint="A6"/>
        </w:rPr>
        <w:t xml:space="preserve"> de la perception</w:t>
      </w:r>
      <w:r w:rsidR="00F955A5" w:rsidRPr="00C80EC5">
        <w:rPr>
          <w:color w:val="595959" w:themeColor="text1" w:themeTint="A6"/>
        </w:rPr>
        <w:t>, s</w:t>
      </w:r>
      <w:r w:rsidR="0099024F" w:rsidRPr="00C80EC5">
        <w:rPr>
          <w:color w:val="595959" w:themeColor="text1" w:themeTint="A6"/>
        </w:rPr>
        <w:t xml:space="preserve">mell is </w:t>
      </w:r>
      <w:r w:rsidRPr="00C80EC5">
        <w:rPr>
          <w:color w:val="595959" w:themeColor="text1" w:themeTint="A6"/>
        </w:rPr>
        <w:t>referred to merely as a part of phenomena that will come to existence only through the other senses, as in paintings where the smell of the landscape emanates from the canvas</w:t>
      </w:r>
      <w:r w:rsidR="00E828E7">
        <w:rPr>
          <w:rStyle w:val="Fodnotehenvisning"/>
          <w:color w:val="595959" w:themeColor="text1" w:themeTint="A6"/>
        </w:rPr>
        <w:footnoteReference w:id="31"/>
      </w:r>
      <w:r w:rsidR="000B487B" w:rsidRPr="00C80EC5">
        <w:rPr>
          <w:color w:val="595959" w:themeColor="text1" w:themeTint="A6"/>
        </w:rPr>
        <w:t xml:space="preserve"> and t</w:t>
      </w:r>
      <w:r w:rsidR="0099024F" w:rsidRPr="00C80EC5">
        <w:rPr>
          <w:color w:val="595959" w:themeColor="text1" w:themeTint="A6"/>
        </w:rPr>
        <w:t>aste</w:t>
      </w:r>
      <w:r w:rsidRPr="00C80EC5">
        <w:rPr>
          <w:color w:val="595959" w:themeColor="text1" w:themeTint="A6"/>
        </w:rPr>
        <w:t xml:space="preserve"> is mentioned just once without being </w:t>
      </w:r>
      <w:proofErr w:type="spellStart"/>
      <w:r w:rsidRPr="00C80EC5">
        <w:rPr>
          <w:color w:val="595959" w:themeColor="text1" w:themeTint="A6"/>
        </w:rPr>
        <w:t>them</w:t>
      </w:r>
      <w:r w:rsidR="00DE4442">
        <w:rPr>
          <w:color w:val="595959" w:themeColor="text1" w:themeTint="A6"/>
        </w:rPr>
        <w:t>atised</w:t>
      </w:r>
      <w:proofErr w:type="spellEnd"/>
      <w:r w:rsidR="00E828E7">
        <w:rPr>
          <w:rStyle w:val="Fodnotehenvisning"/>
          <w:color w:val="595959" w:themeColor="text1" w:themeTint="A6"/>
        </w:rPr>
        <w:footnoteReference w:id="32"/>
      </w:r>
      <w:r w:rsidR="003C4028" w:rsidRPr="00C80EC5">
        <w:rPr>
          <w:color w:val="595959" w:themeColor="text1" w:themeTint="A6"/>
        </w:rPr>
        <w:t>.</w:t>
      </w:r>
    </w:p>
    <w:p w:rsidR="00E823A7" w:rsidRPr="00C80EC5" w:rsidRDefault="00E35E13" w:rsidP="00E01A16">
      <w:pPr>
        <w:pStyle w:val="Overskrift5"/>
        <w:spacing w:line="480" w:lineRule="auto"/>
        <w:ind w:left="0"/>
        <w:jc w:val="both"/>
        <w:rPr>
          <w:i/>
        </w:rPr>
      </w:pPr>
      <w:r w:rsidRPr="00C80EC5">
        <w:rPr>
          <w:i/>
        </w:rPr>
        <w:t xml:space="preserve">An outline of the synthesis of taste-experience </w:t>
      </w:r>
    </w:p>
    <w:p w:rsidR="00F37E58" w:rsidRPr="00C80EC5" w:rsidRDefault="004F68CE" w:rsidP="00E01A16">
      <w:pPr>
        <w:spacing w:line="480" w:lineRule="auto"/>
        <w:ind w:left="0"/>
        <w:jc w:val="both"/>
        <w:rPr>
          <w:rStyle w:val="Fremhv"/>
          <w:caps w:val="0"/>
          <w:color w:val="5A5A5A" w:themeColor="text1" w:themeTint="A5"/>
          <w:spacing w:val="0"/>
        </w:rPr>
      </w:pPr>
      <w:r w:rsidRPr="00C80EC5">
        <w:t xml:space="preserve">The synthesis of sensory experience as it is presented in the </w:t>
      </w:r>
      <w:proofErr w:type="spellStart"/>
      <w:r w:rsidRPr="00C80EC5">
        <w:rPr>
          <w:i/>
        </w:rPr>
        <w:t>Phénoménologie</w:t>
      </w:r>
      <w:proofErr w:type="spellEnd"/>
      <w:r w:rsidRPr="00C80EC5">
        <w:rPr>
          <w:i/>
        </w:rPr>
        <w:t xml:space="preserve"> de la perception </w:t>
      </w:r>
      <w:r w:rsidR="00175D66" w:rsidRPr="00C80EC5">
        <w:t xml:space="preserve">nevertheless </w:t>
      </w:r>
      <w:r w:rsidRPr="00C80EC5">
        <w:t>provides a model-example of the complexity of the sensory encounter.</w:t>
      </w:r>
      <w:r w:rsidR="00616221" w:rsidRPr="00C80EC5">
        <w:t xml:space="preserve"> </w:t>
      </w:r>
      <w:r w:rsidRPr="00C80EC5">
        <w:t>Not only does it offer insights into the ways in which the senses merge the impressions</w:t>
      </w:r>
      <w:r w:rsidR="00401B09" w:rsidRPr="00C80EC5">
        <w:t xml:space="preserve"> and</w:t>
      </w:r>
      <w:r w:rsidR="00DF3649" w:rsidRPr="00C80EC5">
        <w:t xml:space="preserve"> enable</w:t>
      </w:r>
      <w:r w:rsidR="0040546B" w:rsidRPr="00C80EC5">
        <w:t xml:space="preserve"> the</w:t>
      </w:r>
      <w:r w:rsidR="00616221" w:rsidRPr="00C80EC5">
        <w:t xml:space="preserve"> </w:t>
      </w:r>
      <w:r w:rsidR="00DF3649" w:rsidRPr="00C80EC5">
        <w:rPr>
          <w:color w:val="595959" w:themeColor="text1" w:themeTint="A6"/>
        </w:rPr>
        <w:t>cognition</w:t>
      </w:r>
      <w:r w:rsidR="00401B09" w:rsidRPr="00C80EC5">
        <w:rPr>
          <w:color w:val="595959" w:themeColor="text1" w:themeTint="A6"/>
        </w:rPr>
        <w:t xml:space="preserve"> o</w:t>
      </w:r>
      <w:r w:rsidRPr="00C80EC5">
        <w:rPr>
          <w:color w:val="595959" w:themeColor="text1" w:themeTint="A6"/>
        </w:rPr>
        <w:t>f external objects</w:t>
      </w:r>
      <w:r w:rsidRPr="00C80EC5">
        <w:t>, it</w:t>
      </w:r>
      <w:r w:rsidR="00FD3542" w:rsidRPr="00C80EC5">
        <w:t xml:space="preserve"> </w:t>
      </w:r>
      <w:r w:rsidR="00005502" w:rsidRPr="00C80EC5">
        <w:t xml:space="preserve">also </w:t>
      </w:r>
      <w:r w:rsidR="00FD3542" w:rsidRPr="00C80EC5">
        <w:t>draws the attention to the perception of one’s own body as a facet of the sam</w:t>
      </w:r>
      <w:r w:rsidR="00DE4442">
        <w:t>e act</w:t>
      </w:r>
      <w:r w:rsidR="00FD3542" w:rsidRPr="00C80EC5">
        <w:t>.</w:t>
      </w:r>
      <w:r w:rsidR="00DE4442">
        <w:rPr>
          <w:rStyle w:val="Fodnotehenvisning"/>
        </w:rPr>
        <w:footnoteReference w:id="33"/>
      </w:r>
      <w:r w:rsidR="00C01FFD" w:rsidRPr="00C80EC5">
        <w:t xml:space="preserve"> This</w:t>
      </w:r>
      <w:r w:rsidR="000860DD" w:rsidRPr="00C80EC5">
        <w:t xml:space="preserve"> latter type of perception appears to be of particular relevance in the context of taste-experience, </w:t>
      </w:r>
      <w:r w:rsidR="00DF3649" w:rsidRPr="00C80EC5">
        <w:t xml:space="preserve">because </w:t>
      </w:r>
      <w:r w:rsidR="00333FCC" w:rsidRPr="00C80EC5">
        <w:t>the physical encounter in the mouth provides a</w:t>
      </w:r>
      <w:r w:rsidR="005A03BB" w:rsidRPr="00C80EC5">
        <w:t>n exceptional</w:t>
      </w:r>
      <w:r w:rsidR="00004A66" w:rsidRPr="00C80EC5">
        <w:t xml:space="preserve"> case of sensation due to the actual</w:t>
      </w:r>
      <w:r w:rsidR="0040546B" w:rsidRPr="00C80EC5">
        <w:t xml:space="preserve"> dissolution</w:t>
      </w:r>
      <w:r w:rsidR="00022753" w:rsidRPr="00C80EC5">
        <w:t xml:space="preserve"> </w:t>
      </w:r>
      <w:r w:rsidR="00004A66" w:rsidRPr="00C80EC5">
        <w:t>of the object and the following incorporation</w:t>
      </w:r>
      <w:r w:rsidR="003C4028" w:rsidRPr="00C80EC5">
        <w:t>.</w:t>
      </w:r>
      <w:r w:rsidR="00FD3542" w:rsidRPr="00C80EC5">
        <w:t xml:space="preserve"> </w:t>
      </w:r>
    </w:p>
    <w:p w:rsidR="000860DD" w:rsidRPr="00C80EC5" w:rsidRDefault="008408E0" w:rsidP="00E01A16">
      <w:pPr>
        <w:spacing w:line="480" w:lineRule="auto"/>
        <w:ind w:left="0"/>
        <w:jc w:val="both"/>
      </w:pPr>
      <w:r w:rsidRPr="00C80EC5">
        <w:t xml:space="preserve">When approaching taste </w:t>
      </w:r>
      <w:r w:rsidR="000860DD" w:rsidRPr="00C80EC5">
        <w:t>as a synthes</w:t>
      </w:r>
      <w:r w:rsidR="00D0780C" w:rsidRPr="00C80EC5">
        <w:t>is of multiple impressions inspired by the works of</w:t>
      </w:r>
      <w:r w:rsidR="000860DD" w:rsidRPr="00C80EC5">
        <w:t xml:space="preserve"> </w:t>
      </w:r>
      <w:proofErr w:type="spellStart"/>
      <w:r w:rsidR="000860DD" w:rsidRPr="00C80EC5">
        <w:t>Merleau-Ponty</w:t>
      </w:r>
      <w:proofErr w:type="spellEnd"/>
      <w:r w:rsidRPr="00C80EC5">
        <w:t xml:space="preserve">, </w:t>
      </w:r>
      <w:r w:rsidR="000860DD" w:rsidRPr="00C80EC5">
        <w:t xml:space="preserve">taste stands out as a particularly complex experience that is much more than the immediate and transitory experience in the mouth. Each of the five senses contributes to the synthesis and they provide us with different aspects of the full experience. Nevertheless, we do not ordinarily contemplate the sensory impressions separately – in </w:t>
      </w:r>
      <w:proofErr w:type="spellStart"/>
      <w:r w:rsidR="000860DD" w:rsidRPr="00C80EC5">
        <w:t>Merleau-Ponty’s</w:t>
      </w:r>
      <w:proofErr w:type="spellEnd"/>
      <w:r w:rsidR="000860DD" w:rsidRPr="00C80EC5">
        <w:t xml:space="preserve"> phrasing, such action requires a particular attitude that is different from the way in which we customarily perceive our envir</w:t>
      </w:r>
      <w:r w:rsidR="00DE4442">
        <w:t>onment</w:t>
      </w:r>
      <w:r w:rsidR="000860DD" w:rsidRPr="00C80EC5">
        <w:t>.</w:t>
      </w:r>
      <w:r w:rsidR="00DE4442">
        <w:rPr>
          <w:rStyle w:val="Fodnotehenvisning"/>
        </w:rPr>
        <w:footnoteReference w:id="34"/>
      </w:r>
      <w:r w:rsidR="000860DD" w:rsidRPr="00C80EC5">
        <w:t xml:space="preserve"> </w:t>
      </w:r>
      <w:r w:rsidR="00BF64BD">
        <w:t xml:space="preserve">In order to present the synthesis </w:t>
      </w:r>
      <w:r w:rsidR="00BF64BD">
        <w:lastRenderedPageBreak/>
        <w:t>in a comprehensible manner, the following outline will focus on the contributions of each sense</w:t>
      </w:r>
      <w:r w:rsidR="002701B5">
        <w:t xml:space="preserve"> –</w:t>
      </w:r>
      <w:r w:rsidR="00BF64BD">
        <w:t xml:space="preserve"> separately</w:t>
      </w:r>
      <w:r w:rsidR="002701B5">
        <w:t xml:space="preserve"> and in combination with other senses</w:t>
      </w:r>
      <w:r w:rsidR="006341C2">
        <w:t>. This is neither</w:t>
      </w:r>
      <w:r w:rsidR="00E547DF">
        <w:t xml:space="preserve"> claiming</w:t>
      </w:r>
      <w:r w:rsidR="006341C2">
        <w:t xml:space="preserve"> that the sensory impressions are perceived in a specific order, nor</w:t>
      </w:r>
      <w:r w:rsidR="00E547DF">
        <w:t xml:space="preserve"> asserting</w:t>
      </w:r>
      <w:r w:rsidR="006341C2">
        <w:t xml:space="preserve"> that</w:t>
      </w:r>
      <w:r w:rsidR="00E547DF">
        <w:t xml:space="preserve"> the outline</w:t>
      </w:r>
      <w:r w:rsidR="006341C2">
        <w:t xml:space="preserve"> presents an exhaustive range of possibilities: </w:t>
      </w:r>
      <w:r w:rsidR="00EC03EC">
        <w:t xml:space="preserve">  </w:t>
      </w:r>
    </w:p>
    <w:p w:rsidR="00847A1D" w:rsidRPr="00C80EC5" w:rsidRDefault="00533CC9" w:rsidP="005A30B3">
      <w:pPr>
        <w:spacing w:line="480" w:lineRule="auto"/>
        <w:ind w:left="0"/>
        <w:jc w:val="both"/>
      </w:pPr>
      <w:r>
        <w:t xml:space="preserve">Sight presents food as an amalgamation of shapes and colours indicating the freshness of </w:t>
      </w:r>
      <w:r w:rsidR="0048154E">
        <w:t>food-items,</w:t>
      </w:r>
      <w:r>
        <w:t xml:space="preserve"> the progression of cooking-processes</w:t>
      </w:r>
      <w:r w:rsidR="0048154E">
        <w:t xml:space="preserve"> and the composition of</w:t>
      </w:r>
      <w:r w:rsidR="001120EE">
        <w:t xml:space="preserve"> food served on the plate or at the table</w:t>
      </w:r>
      <w:r w:rsidR="00AA0E75">
        <w:t>. Our vision is partial, meaning that the food appears in one specific profile</w:t>
      </w:r>
      <w:r w:rsidR="009C27AD">
        <w:t xml:space="preserve">. We can, however, </w:t>
      </w:r>
      <w:r w:rsidR="00AA0E75">
        <w:t>move the gaze</w:t>
      </w:r>
      <w:r w:rsidR="009C27AD">
        <w:t xml:space="preserve"> or the body in order to </w:t>
      </w:r>
      <w:r w:rsidR="00AA0E75">
        <w:t>make new profiles appear</w:t>
      </w:r>
      <w:r w:rsidR="009C27AD">
        <w:t>.</w:t>
      </w:r>
      <w:r w:rsidR="00CA59A6">
        <w:t xml:space="preserve"> In this process, the ability for movement contributes to </w:t>
      </w:r>
      <w:r w:rsidR="00017D7C">
        <w:t xml:space="preserve">the </w:t>
      </w:r>
      <w:r w:rsidR="00187B7D">
        <w:t xml:space="preserve">possibility of making the interplay between food-items and dishes emerge as a palatable whole. </w:t>
      </w:r>
      <w:r w:rsidR="00670E92">
        <w:t xml:space="preserve"> Tactility provides us with the capacity for making hitherto absent profiles of food-items or dishes available to the eye. </w:t>
      </w:r>
      <w:r w:rsidR="00C57F51">
        <w:t>In this context, movement is involved in the sense that we can examine a food-item by rotating it in our hands, thereby creating a succession of present and absent profiles. At the same time, the handling of the food-item enables a succession of tactile impressions</w:t>
      </w:r>
      <w:r w:rsidR="004A6442">
        <w:t xml:space="preserve"> through the hands</w:t>
      </w:r>
      <w:r w:rsidR="00DA1316">
        <w:t xml:space="preserve"> indicating the</w:t>
      </w:r>
      <w:r w:rsidR="00C57F51">
        <w:t xml:space="preserve"> tenderness of meat or </w:t>
      </w:r>
      <w:r w:rsidR="00DA1316">
        <w:t xml:space="preserve">the </w:t>
      </w:r>
      <w:r w:rsidR="00C57F51">
        <w:t xml:space="preserve">crispness of vegetables. </w:t>
      </w:r>
      <w:r w:rsidR="00DA1316">
        <w:t>Tactility, however, plays a role in the mouth as well.</w:t>
      </w:r>
      <w:r w:rsidR="007A468A">
        <w:t xml:space="preserve"> Here, i</w:t>
      </w:r>
      <w:r w:rsidR="007C2FCA">
        <w:t>mpressions of the texture of food-items and dishes appear as mouth-feel</w:t>
      </w:r>
      <w:r w:rsidR="004A6442">
        <w:t>,</w:t>
      </w:r>
      <w:r w:rsidR="007A468A">
        <w:t xml:space="preserve"> a type of sensation that changes in the process of chewing as the mechanical actions transform the food before swallowing. </w:t>
      </w:r>
      <w:r w:rsidR="00C34D9E">
        <w:t xml:space="preserve">The olfactory sense enables the identification of ingredients such as spices, hence </w:t>
      </w:r>
      <w:r w:rsidR="00017D7C">
        <w:t xml:space="preserve">indicating </w:t>
      </w:r>
      <w:r w:rsidR="00C34D9E">
        <w:t>the taste that will be discernible if we actually put the food in</w:t>
      </w:r>
      <w:r w:rsidR="00202B8C">
        <w:t>to</w:t>
      </w:r>
      <w:r w:rsidR="00C34D9E">
        <w:t xml:space="preserve"> the mouth. Smelling is linked to tactility and movement in the sense that</w:t>
      </w:r>
      <w:r w:rsidR="00E56F89">
        <w:t xml:space="preserve"> movement is needed in order to bring the food-items or dishes closer to the nostrils, whereas touch is needed in case it is the hands that are used to carry the food towards the face. </w:t>
      </w:r>
      <w:r w:rsidR="003D0E08">
        <w:t xml:space="preserve">Sound comes into play with the first bite and is closely connected to tactility as every possible texture is characterised by a specific sound. </w:t>
      </w:r>
      <w:r w:rsidR="0061310C" w:rsidRPr="00C80EC5">
        <w:t>We experience the sound of crunchy food-items as sharp, the sound of liquid dishes as slurping, the sound of tender ingredients as a soft squeaking.</w:t>
      </w:r>
      <w:r w:rsidR="00A83DA7">
        <w:t xml:space="preserve"> Only after the food is brought into the mouth-cavity is taste experienced as the impression that we commonly refer to as tasting</w:t>
      </w:r>
      <w:r w:rsidR="00017D7C">
        <w:t xml:space="preserve"> and through which </w:t>
      </w:r>
      <w:r w:rsidR="005A30B3" w:rsidRPr="00C80EC5">
        <w:t>one or more of the five basic tastes: sweet, sour, bitter, salty or umami</w:t>
      </w:r>
      <w:r w:rsidR="00017D7C">
        <w:t xml:space="preserve"> appear</w:t>
      </w:r>
      <w:r w:rsidR="005A30B3" w:rsidRPr="00C80EC5">
        <w:t>. In the course of the mechanica</w:t>
      </w:r>
      <w:r w:rsidR="00847A1D" w:rsidRPr="00C80EC5">
        <w:t>l actions through which the food</w:t>
      </w:r>
      <w:r w:rsidR="005A30B3" w:rsidRPr="00C80EC5">
        <w:t xml:space="preserve"> is gradually</w:t>
      </w:r>
      <w:r w:rsidR="005C5E42" w:rsidRPr="00C80EC5">
        <w:t xml:space="preserve"> chewed</w:t>
      </w:r>
      <w:r w:rsidR="005A30B3" w:rsidRPr="00C80EC5">
        <w:t xml:space="preserve"> and dissolved, different taste-profiles</w:t>
      </w:r>
      <w:r w:rsidR="00017D7C">
        <w:t xml:space="preserve"> might</w:t>
      </w:r>
      <w:r w:rsidR="005A30B3" w:rsidRPr="00C80EC5">
        <w:t xml:space="preserve"> stand out. The initial impression might be dominated by </w:t>
      </w:r>
      <w:r w:rsidR="00847A1D" w:rsidRPr="00C80EC5">
        <w:t>one basic taste</w:t>
      </w:r>
      <w:r w:rsidR="005A30B3" w:rsidRPr="00C80EC5">
        <w:t>, while a</w:t>
      </w:r>
      <w:r w:rsidR="00847A1D" w:rsidRPr="00C80EC5">
        <w:t>nother</w:t>
      </w:r>
      <w:r w:rsidR="005A30B3" w:rsidRPr="00C80EC5">
        <w:t xml:space="preserve"> takes over when the</w:t>
      </w:r>
      <w:r w:rsidR="00847A1D" w:rsidRPr="00C80EC5">
        <w:t xml:space="preserve"> food i</w:t>
      </w:r>
      <w:r w:rsidR="005A30B3" w:rsidRPr="00C80EC5">
        <w:t>s crushed – and the remaining flavour after having swallowed the bite might be dominated by a lingering of</w:t>
      </w:r>
      <w:r w:rsidR="00847A1D" w:rsidRPr="00C80EC5">
        <w:t xml:space="preserve"> a third basic taste</w:t>
      </w:r>
      <w:r w:rsidR="005A30B3" w:rsidRPr="00C80EC5">
        <w:t>.</w:t>
      </w:r>
      <w:r w:rsidR="00ED4A28">
        <w:rPr>
          <w:rStyle w:val="Fodnotehenvisning"/>
        </w:rPr>
        <w:footnoteReference w:id="35"/>
      </w:r>
    </w:p>
    <w:p w:rsidR="008408E0" w:rsidRPr="00C80EC5" w:rsidRDefault="006E4072" w:rsidP="005A30B3">
      <w:pPr>
        <w:spacing w:line="480" w:lineRule="auto"/>
        <w:ind w:left="0"/>
        <w:jc w:val="both"/>
      </w:pPr>
      <w:r w:rsidRPr="00C80EC5">
        <w:lastRenderedPageBreak/>
        <w:t xml:space="preserve">In </w:t>
      </w:r>
      <w:proofErr w:type="spellStart"/>
      <w:r w:rsidRPr="00C80EC5">
        <w:t>Merleau-Ponty</w:t>
      </w:r>
      <w:proofErr w:type="spellEnd"/>
      <w:r w:rsidRPr="00C80EC5">
        <w:t>, a</w:t>
      </w:r>
      <w:r w:rsidR="00F2683B" w:rsidRPr="00C80EC5">
        <w:t>s already indicated</w:t>
      </w:r>
      <w:r w:rsidRPr="00C80EC5">
        <w:t>,</w:t>
      </w:r>
      <w:r w:rsidR="00F2683B" w:rsidRPr="00C80EC5">
        <w:t xml:space="preserve"> the</w:t>
      </w:r>
      <w:r w:rsidR="00B01BC4" w:rsidRPr="00C80EC5">
        <w:t xml:space="preserve"> synthesis of the sensory impressions that enables the understanding of the</w:t>
      </w:r>
      <w:r w:rsidR="00F2683B" w:rsidRPr="00C80EC5">
        <w:t xml:space="preserve"> intended object – </w:t>
      </w:r>
      <w:r w:rsidR="00473B8E" w:rsidRPr="00C80EC5">
        <w:t>in this example</w:t>
      </w:r>
      <w:r w:rsidRPr="00C80EC5">
        <w:t xml:space="preserve"> </w:t>
      </w:r>
      <w:r w:rsidR="00F2683B" w:rsidRPr="00C80EC5">
        <w:t>the food-item or the dish – does not take place in separated instants, but in a continuous process in which the</w:t>
      </w:r>
      <w:r w:rsidR="006A6159" w:rsidRPr="00C80EC5">
        <w:t xml:space="preserve"> present and absent profiles are merged</w:t>
      </w:r>
      <w:r w:rsidR="00F2683B" w:rsidRPr="00C80EC5">
        <w:t xml:space="preserve"> into an understandable whole.</w:t>
      </w:r>
      <w:r w:rsidR="006A6159" w:rsidRPr="00C80EC5">
        <w:t xml:space="preserve"> </w:t>
      </w:r>
      <w:r w:rsidR="00B77FE1" w:rsidRPr="00C80EC5">
        <w:t xml:space="preserve">Only then can we say that a food-item or a dish is </w:t>
      </w:r>
      <w:r w:rsidR="00B77FE1" w:rsidRPr="00C80EC5">
        <w:rPr>
          <w:i/>
        </w:rPr>
        <w:t xml:space="preserve">this </w:t>
      </w:r>
      <w:r w:rsidR="00B77FE1" w:rsidRPr="00C80EC5">
        <w:t xml:space="preserve">food-item or </w:t>
      </w:r>
      <w:r w:rsidR="00B77FE1" w:rsidRPr="00C80EC5">
        <w:rPr>
          <w:i/>
        </w:rPr>
        <w:t xml:space="preserve">this </w:t>
      </w:r>
      <w:r w:rsidR="00B77FE1" w:rsidRPr="00C80EC5">
        <w:t xml:space="preserve">dish. </w:t>
      </w:r>
      <w:r w:rsidR="008408E0" w:rsidRPr="00C80EC5">
        <w:t xml:space="preserve">When combining these insights with the analysis of taste as a combination of direct, complete and reflected sensation as in Brillat-Savarin’s </w:t>
      </w:r>
      <w:proofErr w:type="spellStart"/>
      <w:r w:rsidR="008408E0" w:rsidRPr="00C80EC5">
        <w:rPr>
          <w:i/>
        </w:rPr>
        <w:t>Physiologie</w:t>
      </w:r>
      <w:proofErr w:type="spellEnd"/>
      <w:r w:rsidR="008408E0" w:rsidRPr="00C80EC5">
        <w:rPr>
          <w:i/>
        </w:rPr>
        <w:t xml:space="preserve"> du </w:t>
      </w:r>
      <w:proofErr w:type="spellStart"/>
      <w:r w:rsidR="008408E0" w:rsidRPr="00C80EC5">
        <w:rPr>
          <w:i/>
        </w:rPr>
        <w:t>goût</w:t>
      </w:r>
      <w:proofErr w:type="spellEnd"/>
      <w:r w:rsidR="0091031C">
        <w:rPr>
          <w:rStyle w:val="Fodnotehenvisning"/>
        </w:rPr>
        <w:footnoteReference w:id="36"/>
      </w:r>
      <w:r w:rsidR="008408E0" w:rsidRPr="00C80EC5">
        <w:t xml:space="preserve">, new dimensions emerge. His account for the correlation of sensory impressions is not as elaborated as in </w:t>
      </w:r>
      <w:proofErr w:type="spellStart"/>
      <w:r w:rsidR="008408E0" w:rsidRPr="00C80EC5">
        <w:t>Merleau-Ponty</w:t>
      </w:r>
      <w:proofErr w:type="spellEnd"/>
      <w:r w:rsidR="008408E0" w:rsidRPr="00C80EC5">
        <w:t>. His interest was to position gastronomy in the context of science by contemplating theoretically on sensory experience and in morality by separating the discernible gourmand from the uncivili</w:t>
      </w:r>
      <w:r w:rsidR="0091031C">
        <w:t>sed glutton</w:t>
      </w:r>
      <w:r w:rsidR="008408E0" w:rsidRPr="00C80EC5">
        <w:t>.</w:t>
      </w:r>
      <w:r w:rsidR="0091031C">
        <w:rPr>
          <w:rStyle w:val="Fodnotehenvisning"/>
        </w:rPr>
        <w:footnoteReference w:id="37"/>
      </w:r>
      <w:r w:rsidR="008408E0" w:rsidRPr="00C80EC5">
        <w:t xml:space="preserve"> Nevertheless, the two works complement each other in the sense that </w:t>
      </w:r>
      <w:proofErr w:type="spellStart"/>
      <w:r w:rsidR="008408E0" w:rsidRPr="00C80EC5">
        <w:t>Merleau-Ponty</w:t>
      </w:r>
      <w:proofErr w:type="spellEnd"/>
      <w:r w:rsidR="008408E0" w:rsidRPr="00C80EC5">
        <w:t xml:space="preserve"> lays out the foundations for the way in which we meet</w:t>
      </w:r>
      <w:r w:rsidR="009F342C" w:rsidRPr="00C80EC5">
        <w:t xml:space="preserve"> and understand</w:t>
      </w:r>
      <w:r w:rsidR="008408E0" w:rsidRPr="00C80EC5">
        <w:t xml:space="preserve"> our environ</w:t>
      </w:r>
      <w:r w:rsidR="00070DD2" w:rsidRPr="00C80EC5">
        <w:t>ment through sensory experience</w:t>
      </w:r>
      <w:r w:rsidR="008408E0" w:rsidRPr="00C80EC5">
        <w:t>, while Brillat-Savarin contributes with insights into the reflections on taste.</w:t>
      </w:r>
    </w:p>
    <w:p w:rsidR="00AF33EC" w:rsidRPr="00C80EC5" w:rsidRDefault="00F85AB3" w:rsidP="0005550D">
      <w:pPr>
        <w:spacing w:line="480" w:lineRule="auto"/>
        <w:ind w:left="0"/>
        <w:jc w:val="both"/>
      </w:pPr>
      <w:r w:rsidRPr="00C80EC5">
        <w:t>In Brillat-Savarin, the five above-mentioned phases correspond to</w:t>
      </w:r>
      <w:r w:rsidR="009F342C" w:rsidRPr="00C80EC5">
        <w:t xml:space="preserve"> what he named</w:t>
      </w:r>
      <w:r w:rsidRPr="00C80EC5">
        <w:t xml:space="preserve"> the direct and complete sensations.</w:t>
      </w:r>
      <w:r w:rsidR="006E4072" w:rsidRPr="00C80EC5">
        <w:t xml:space="preserve"> In addition to these, he described a final phase</w:t>
      </w:r>
      <w:r w:rsidR="00DA2823">
        <w:t>,</w:t>
      </w:r>
      <w:r w:rsidR="006E4072" w:rsidRPr="00C80EC5">
        <w:t xml:space="preserve"> which he named</w:t>
      </w:r>
      <w:r w:rsidRPr="00C80EC5">
        <w:t xml:space="preserve"> the reflected sensation. </w:t>
      </w:r>
      <w:r w:rsidR="006E4072" w:rsidRPr="00C80EC5">
        <w:t>T</w:t>
      </w:r>
      <w:r w:rsidRPr="00C80EC5">
        <w:t>his phase is where we contemplate the sensations in order to reach a final assessment</w:t>
      </w:r>
      <w:r w:rsidR="004F448B" w:rsidRPr="00C80EC5">
        <w:t xml:space="preserve"> - like or dislike at the most primitive level of assessment, verbally elaborated in the case of a more sophisticated response</w:t>
      </w:r>
      <w:r w:rsidRPr="00C80EC5">
        <w:t>. Contrary to the outline of the synthesis of taste above, Brillat-Savarin limited the direct and complete sensations to the physiological proc</w:t>
      </w:r>
      <w:r w:rsidR="00070DD2" w:rsidRPr="00C80EC5">
        <w:t>ess taking place in the mouth. But h</w:t>
      </w:r>
      <w:r w:rsidRPr="00C80EC5">
        <w:t>e was not oblivious to the influence of the other senses, in particular smell</w:t>
      </w:r>
      <w:r w:rsidR="0091031C">
        <w:rPr>
          <w:rStyle w:val="Fodnotehenvisning"/>
        </w:rPr>
        <w:footnoteReference w:id="38"/>
      </w:r>
      <w:r w:rsidRPr="00C80EC5">
        <w:t>, and he acknowledged sociability as significant to the reflected sensat</w:t>
      </w:r>
      <w:r w:rsidR="0091031C">
        <w:t>ion</w:t>
      </w:r>
      <w:r w:rsidR="0091031C">
        <w:rPr>
          <w:rStyle w:val="Fodnotehenvisning"/>
        </w:rPr>
        <w:footnoteReference w:id="39"/>
      </w:r>
      <w:r w:rsidRPr="00C80EC5">
        <w:t xml:space="preserve">. </w:t>
      </w:r>
      <w:r w:rsidR="008023E5" w:rsidRPr="00C80EC5">
        <w:t>This</w:t>
      </w:r>
      <w:r w:rsidR="006E4072" w:rsidRPr="00C80EC5">
        <w:t xml:space="preserve"> latter perspective is interesting in the sense that it seems to add a dimension to the synthesis articulated in </w:t>
      </w:r>
      <w:proofErr w:type="spellStart"/>
      <w:r w:rsidR="006E4072" w:rsidRPr="00C80EC5">
        <w:rPr>
          <w:i/>
        </w:rPr>
        <w:t>Phénoménologie</w:t>
      </w:r>
      <w:proofErr w:type="spellEnd"/>
      <w:r w:rsidR="006E4072" w:rsidRPr="00C80EC5">
        <w:rPr>
          <w:i/>
        </w:rPr>
        <w:t xml:space="preserve"> de la perception</w:t>
      </w:r>
      <w:r w:rsidR="008023E5" w:rsidRPr="00C80EC5">
        <w:rPr>
          <w:i/>
          <w:color w:val="595959" w:themeColor="text1" w:themeTint="A6"/>
        </w:rPr>
        <w:t>.</w:t>
      </w:r>
      <w:r w:rsidR="00223613" w:rsidRPr="00C80EC5">
        <w:rPr>
          <w:i/>
          <w:color w:val="595959" w:themeColor="text1" w:themeTint="A6"/>
        </w:rPr>
        <w:t xml:space="preserve"> </w:t>
      </w:r>
      <w:r w:rsidR="008023E5" w:rsidRPr="00C80EC5">
        <w:rPr>
          <w:color w:val="595959" w:themeColor="text1" w:themeTint="A6"/>
        </w:rPr>
        <w:t>A</w:t>
      </w:r>
      <w:r w:rsidR="00223613" w:rsidRPr="00C80EC5">
        <w:rPr>
          <w:color w:val="595959" w:themeColor="text1" w:themeTint="A6"/>
        </w:rPr>
        <w:t xml:space="preserve"> dimension that is hardly irrelevant in the context of tasting</w:t>
      </w:r>
      <w:r w:rsidR="008023E5" w:rsidRPr="00C80EC5">
        <w:rPr>
          <w:color w:val="595959" w:themeColor="text1" w:themeTint="A6"/>
        </w:rPr>
        <w:t xml:space="preserve"> given the extensive amount of sources pointing out the </w:t>
      </w:r>
      <w:r w:rsidR="00A8582B" w:rsidRPr="00C80EC5">
        <w:rPr>
          <w:color w:val="595959" w:themeColor="text1" w:themeTint="A6"/>
        </w:rPr>
        <w:t xml:space="preserve">cultural and </w:t>
      </w:r>
      <w:r w:rsidR="008023E5" w:rsidRPr="00C80EC5">
        <w:rPr>
          <w:color w:val="595959" w:themeColor="text1" w:themeTint="A6"/>
        </w:rPr>
        <w:t xml:space="preserve">social dimensions of eating </w:t>
      </w:r>
      <w:r w:rsidR="00070DD2" w:rsidRPr="00C80EC5">
        <w:rPr>
          <w:color w:val="595959" w:themeColor="text1" w:themeTint="A6"/>
        </w:rPr>
        <w:t>–</w:t>
      </w:r>
      <w:r w:rsidR="008023E5" w:rsidRPr="00C80EC5">
        <w:rPr>
          <w:color w:val="595959" w:themeColor="text1" w:themeTint="A6"/>
        </w:rPr>
        <w:t xml:space="preserve"> </w:t>
      </w:r>
      <w:proofErr w:type="gramStart"/>
      <w:r w:rsidR="008023E5" w:rsidRPr="00C80EC5">
        <w:rPr>
          <w:color w:val="595959" w:themeColor="text1" w:themeTint="A6"/>
        </w:rPr>
        <w:t>sources</w:t>
      </w:r>
      <w:r w:rsidR="00070DD2" w:rsidRPr="00C80EC5">
        <w:rPr>
          <w:color w:val="595959" w:themeColor="text1" w:themeTint="A6"/>
        </w:rPr>
        <w:t xml:space="preserve"> </w:t>
      </w:r>
      <w:r w:rsidR="008023E5" w:rsidRPr="00C80EC5">
        <w:rPr>
          <w:color w:val="595959" w:themeColor="text1" w:themeTint="A6"/>
        </w:rPr>
        <w:t>ranging</w:t>
      </w:r>
      <w:proofErr w:type="gramEnd"/>
      <w:r w:rsidR="008023E5" w:rsidRPr="00C80EC5">
        <w:rPr>
          <w:color w:val="595959" w:themeColor="text1" w:themeTint="A6"/>
        </w:rPr>
        <w:t xml:space="preserve"> from the meaning of commensality in the public meals in ancient Greece</w:t>
      </w:r>
      <w:r w:rsidR="002B4B86">
        <w:rPr>
          <w:rStyle w:val="Fodnotehenvisning"/>
          <w:color w:val="595959" w:themeColor="text1" w:themeTint="A6"/>
        </w:rPr>
        <w:footnoteReference w:id="40"/>
      </w:r>
      <w:r w:rsidR="008023E5" w:rsidRPr="00C80EC5">
        <w:rPr>
          <w:color w:val="595959" w:themeColor="text1" w:themeTint="A6"/>
        </w:rPr>
        <w:t xml:space="preserve"> to</w:t>
      </w:r>
      <w:r w:rsidR="00A37579" w:rsidRPr="00C80EC5">
        <w:rPr>
          <w:color w:val="595959" w:themeColor="text1" w:themeTint="A6"/>
        </w:rPr>
        <w:t xml:space="preserve"> present-day accounts of the role of </w:t>
      </w:r>
      <w:r w:rsidR="00A37579" w:rsidRPr="00C80EC5">
        <w:rPr>
          <w:color w:val="595959" w:themeColor="text1" w:themeTint="A6"/>
        </w:rPr>
        <w:lastRenderedPageBreak/>
        <w:t>food in the shaping of identities</w:t>
      </w:r>
      <w:r w:rsidR="00084106">
        <w:rPr>
          <w:rStyle w:val="Fodnotehenvisning"/>
          <w:color w:val="595959" w:themeColor="text1" w:themeTint="A6"/>
        </w:rPr>
        <w:footnoteReference w:id="41"/>
      </w:r>
      <w:r w:rsidR="00375029" w:rsidRPr="00C80EC5">
        <w:rPr>
          <w:i/>
          <w:color w:val="595959" w:themeColor="text1" w:themeTint="A6"/>
        </w:rPr>
        <w:t>.</w:t>
      </w:r>
      <w:r w:rsidR="00375029" w:rsidRPr="00C80EC5">
        <w:rPr>
          <w:i/>
        </w:rPr>
        <w:t xml:space="preserve"> </w:t>
      </w:r>
      <w:r w:rsidR="00223613" w:rsidRPr="00C80EC5">
        <w:t>This</w:t>
      </w:r>
      <w:r w:rsidR="008023E5" w:rsidRPr="00C80EC5">
        <w:t xml:space="preserve"> apparent lapse</w:t>
      </w:r>
      <w:r w:rsidR="00223613" w:rsidRPr="00C80EC5">
        <w:t xml:space="preserve">, however, does not mean that </w:t>
      </w:r>
      <w:proofErr w:type="spellStart"/>
      <w:r w:rsidR="00375029" w:rsidRPr="00C80EC5">
        <w:t>Merleau-Ponty</w:t>
      </w:r>
      <w:proofErr w:type="spellEnd"/>
      <w:r w:rsidR="00223613" w:rsidRPr="00C80EC5">
        <w:t xml:space="preserve"> ignored the influence of phenomena in the periphery of our attention. He</w:t>
      </w:r>
      <w:r w:rsidR="00375029" w:rsidRPr="00C80EC5">
        <w:t xml:space="preserve"> referred to the surrounding world as a horizon that accompanies our perception permanently.</w:t>
      </w:r>
      <w:r w:rsidR="00DE4442">
        <w:rPr>
          <w:rStyle w:val="Fodnotehenvisning"/>
        </w:rPr>
        <w:footnoteReference w:id="42"/>
      </w:r>
      <w:r w:rsidR="00375029" w:rsidRPr="00C80EC5">
        <w:t xml:space="preserve"> This horizon consists in</w:t>
      </w:r>
      <w:r w:rsidR="00635BF3" w:rsidRPr="00C80EC5">
        <w:t xml:space="preserve"> the marginalising of certain profiles when directing the attention towards one particular profile</w:t>
      </w:r>
      <w:r w:rsidR="00A91EBC" w:rsidRPr="00C80EC5">
        <w:t xml:space="preserve"> of an object</w:t>
      </w:r>
      <w:r w:rsidR="00635BF3" w:rsidRPr="00C80EC5">
        <w:t xml:space="preserve"> a</w:t>
      </w:r>
      <w:r w:rsidR="007952E5" w:rsidRPr="00C80EC5">
        <w:t>s well as</w:t>
      </w:r>
      <w:r w:rsidR="00635BF3" w:rsidRPr="00C80EC5">
        <w:t xml:space="preserve"> in</w:t>
      </w:r>
      <w:r w:rsidR="00A91EBC" w:rsidRPr="00C80EC5">
        <w:t xml:space="preserve"> past profiles that fade and future profiles that emerge in the</w:t>
      </w:r>
      <w:r w:rsidR="00A91EBC" w:rsidRPr="00C80EC5">
        <w:rPr>
          <w:color w:val="595959" w:themeColor="text1" w:themeTint="A6"/>
        </w:rPr>
        <w:t xml:space="preserve"> examination </w:t>
      </w:r>
      <w:r w:rsidR="00A91EBC" w:rsidRPr="00C80EC5">
        <w:t>of an object.</w:t>
      </w:r>
      <w:r w:rsidR="00DE4442">
        <w:rPr>
          <w:rStyle w:val="Fodnotehenvisning"/>
        </w:rPr>
        <w:footnoteReference w:id="43"/>
      </w:r>
      <w:r w:rsidR="00A91EBC" w:rsidRPr="00C80EC5">
        <w:t xml:space="preserve"> </w:t>
      </w:r>
      <w:r w:rsidR="00815EAC" w:rsidRPr="00C80EC5">
        <w:t>The</w:t>
      </w:r>
      <w:r w:rsidR="00542EDA" w:rsidRPr="00C80EC5">
        <w:t>re is, hence, a</w:t>
      </w:r>
      <w:r w:rsidR="00815EAC" w:rsidRPr="00C80EC5">
        <w:t xml:space="preserve"> temporal perspect</w:t>
      </w:r>
      <w:r w:rsidR="00474824" w:rsidRPr="00C80EC5">
        <w:t>ive</w:t>
      </w:r>
      <w:r w:rsidR="00542EDA" w:rsidRPr="00C80EC5">
        <w:t xml:space="preserve"> that seems</w:t>
      </w:r>
      <w:r w:rsidR="00474824" w:rsidRPr="00C80EC5">
        <w:t xml:space="preserve"> particularly interesting</w:t>
      </w:r>
      <w:r w:rsidR="007952E5" w:rsidRPr="00C80EC5">
        <w:t xml:space="preserve"> because i</w:t>
      </w:r>
      <w:r w:rsidR="00474824" w:rsidRPr="00C80EC5">
        <w:t xml:space="preserve">t </w:t>
      </w:r>
      <w:r w:rsidR="00993D89" w:rsidRPr="00C80EC5">
        <w:t>emphasises the</w:t>
      </w:r>
      <w:r w:rsidR="00474824" w:rsidRPr="00C80EC5">
        <w:t xml:space="preserve"> persistent relationship between us and the world</w:t>
      </w:r>
      <w:r w:rsidR="00993D89" w:rsidRPr="00C80EC5">
        <w:t xml:space="preserve"> as </w:t>
      </w:r>
      <w:r w:rsidR="00AF33EC" w:rsidRPr="00C80EC5">
        <w:t>being a continuum in which</w:t>
      </w:r>
      <w:r w:rsidR="006309B4" w:rsidRPr="00C80EC5">
        <w:t xml:space="preserve"> the present is a</w:t>
      </w:r>
      <w:r w:rsidR="00474824" w:rsidRPr="00C80EC5">
        <w:t xml:space="preserve"> </w:t>
      </w:r>
      <w:r w:rsidR="006309B4" w:rsidRPr="00C80EC5">
        <w:t>product of the past and the future is an outcome</w:t>
      </w:r>
      <w:r w:rsidR="00474824" w:rsidRPr="00C80EC5">
        <w:t xml:space="preserve"> of the pr</w:t>
      </w:r>
      <w:r w:rsidR="00DE4442">
        <w:t>esent</w:t>
      </w:r>
      <w:r w:rsidR="00474824" w:rsidRPr="00C80EC5">
        <w:t>.</w:t>
      </w:r>
      <w:r w:rsidR="00DE4442">
        <w:rPr>
          <w:rStyle w:val="Fodnotehenvisning"/>
        </w:rPr>
        <w:footnoteReference w:id="44"/>
      </w:r>
      <w:r w:rsidR="00474824" w:rsidRPr="00C80EC5">
        <w:t xml:space="preserve"> </w:t>
      </w:r>
      <w:r w:rsidR="009964B4" w:rsidRPr="00C80EC5">
        <w:t>Neither f</w:t>
      </w:r>
      <w:r w:rsidR="00B45719" w:rsidRPr="00C80EC5">
        <w:t>ormer</w:t>
      </w:r>
      <w:r w:rsidR="009964B4" w:rsidRPr="00C80EC5">
        <w:t>, nor future</w:t>
      </w:r>
      <w:r w:rsidR="00B45719" w:rsidRPr="00C80EC5">
        <w:t xml:space="preserve"> experience</w:t>
      </w:r>
      <w:r w:rsidR="00525F1D" w:rsidRPr="00C80EC5">
        <w:t>s are isolated mental activities</w:t>
      </w:r>
      <w:r w:rsidR="00B45719" w:rsidRPr="00C80EC5">
        <w:t xml:space="preserve"> that </w:t>
      </w:r>
      <w:r w:rsidR="00525F1D" w:rsidRPr="00C80EC5">
        <w:t>are</w:t>
      </w:r>
      <w:r w:rsidR="00B45719" w:rsidRPr="00C80EC5">
        <w:t xml:space="preserve"> added to the act of perceiving, </w:t>
      </w:r>
      <w:r w:rsidR="009964B4" w:rsidRPr="00C80EC5">
        <w:t xml:space="preserve">but a continuous synthesis that is intimately linked to </w:t>
      </w:r>
      <w:r w:rsidR="00525F1D" w:rsidRPr="00C80EC5">
        <w:t xml:space="preserve">our </w:t>
      </w:r>
      <w:r w:rsidR="009964B4" w:rsidRPr="00C80EC5">
        <w:t>con</w:t>
      </w:r>
      <w:r w:rsidR="00DE4442">
        <w:t>sciousness</w:t>
      </w:r>
      <w:r w:rsidR="00031720" w:rsidRPr="00C80EC5">
        <w:t>.</w:t>
      </w:r>
      <w:r w:rsidR="00DE4442">
        <w:rPr>
          <w:rStyle w:val="Fodnotehenvisning"/>
        </w:rPr>
        <w:footnoteReference w:id="45"/>
      </w:r>
    </w:p>
    <w:p w:rsidR="00080576" w:rsidRPr="00C80EC5" w:rsidRDefault="007314D5" w:rsidP="00D64652">
      <w:pPr>
        <w:pStyle w:val="Overskrift5"/>
        <w:spacing w:line="480" w:lineRule="auto"/>
        <w:ind w:left="0"/>
        <w:rPr>
          <w:i/>
        </w:rPr>
      </w:pPr>
      <w:proofErr w:type="gramStart"/>
      <w:r w:rsidRPr="00C80EC5">
        <w:rPr>
          <w:i/>
        </w:rPr>
        <w:t>A</w:t>
      </w:r>
      <w:r w:rsidR="00D64652" w:rsidRPr="00C80EC5">
        <w:rPr>
          <w:i/>
        </w:rPr>
        <w:t xml:space="preserve"> particularly strong corporal imprint</w:t>
      </w:r>
      <w:r w:rsidR="00080576" w:rsidRPr="00C80EC5">
        <w:rPr>
          <w:i/>
        </w:rPr>
        <w:t>?</w:t>
      </w:r>
      <w:proofErr w:type="gramEnd"/>
    </w:p>
    <w:p w:rsidR="0078033C" w:rsidRPr="00C80EC5" w:rsidRDefault="007222B7" w:rsidP="00D64652">
      <w:pPr>
        <w:spacing w:line="480" w:lineRule="auto"/>
        <w:ind w:left="0"/>
        <w:jc w:val="both"/>
      </w:pPr>
      <w:r w:rsidRPr="00C80EC5">
        <w:t>Out of this context, the question</w:t>
      </w:r>
      <w:r w:rsidR="00466835" w:rsidRPr="00C80EC5">
        <w:t>s emerge</w:t>
      </w:r>
      <w:r w:rsidRPr="00C80EC5">
        <w:t xml:space="preserve"> of whether</w:t>
      </w:r>
      <w:r w:rsidR="00736435" w:rsidRPr="00C80EC5">
        <w:t xml:space="preserve"> the temporal perspective</w:t>
      </w:r>
      <w:r w:rsidR="00466835" w:rsidRPr="00C80EC5">
        <w:t xml:space="preserve"> </w:t>
      </w:r>
      <w:r w:rsidR="00243416" w:rsidRPr="00C80EC5">
        <w:t>suggests an important influence of</w:t>
      </w:r>
      <w:r w:rsidR="00466835" w:rsidRPr="00C80EC5">
        <w:t xml:space="preserve"> recollection and anticipation </w:t>
      </w:r>
      <w:r w:rsidR="00243416" w:rsidRPr="00C80EC5">
        <w:t>on</w:t>
      </w:r>
      <w:r w:rsidR="00466835" w:rsidRPr="00C80EC5">
        <w:t xml:space="preserve"> the taste-experience and whether</w:t>
      </w:r>
      <w:r w:rsidRPr="00C80EC5">
        <w:t xml:space="preserve"> th</w:t>
      </w:r>
      <w:r w:rsidR="00A8582B" w:rsidRPr="00C80EC5">
        <w:t>e</w:t>
      </w:r>
      <w:r w:rsidRPr="00C80EC5">
        <w:t xml:space="preserve"> </w:t>
      </w:r>
      <w:r w:rsidR="00243416" w:rsidRPr="00C80EC5">
        <w:t>multi-faceted nature of</w:t>
      </w:r>
      <w:r w:rsidRPr="00C80EC5">
        <w:t xml:space="preserve"> taste</w:t>
      </w:r>
      <w:r w:rsidR="00A8582B" w:rsidRPr="00C80EC5">
        <w:t xml:space="preserve"> </w:t>
      </w:r>
      <w:r w:rsidRPr="00C80EC5">
        <w:t>is indicative of a privileged but hitherto relatively unexplored access to cognition.</w:t>
      </w:r>
      <w:r w:rsidR="00E2020D" w:rsidRPr="00C80EC5">
        <w:t xml:space="preserve"> The questions are</w:t>
      </w:r>
      <w:r w:rsidR="00687019" w:rsidRPr="00C80EC5">
        <w:t xml:space="preserve"> closely</w:t>
      </w:r>
      <w:r w:rsidR="00E2020D" w:rsidRPr="00C80EC5">
        <w:t xml:space="preserve"> intertwined – and n</w:t>
      </w:r>
      <w:r w:rsidR="007F66AC" w:rsidRPr="00C80EC5">
        <w:t xml:space="preserve">either Brillat-Savarin, nor </w:t>
      </w:r>
      <w:proofErr w:type="spellStart"/>
      <w:r w:rsidR="007F66AC" w:rsidRPr="00C80EC5">
        <w:t>Merleau-Ponty</w:t>
      </w:r>
      <w:proofErr w:type="spellEnd"/>
      <w:r w:rsidR="007F66AC" w:rsidRPr="00C80EC5">
        <w:t xml:space="preserve"> </w:t>
      </w:r>
      <w:r w:rsidR="00E2020D" w:rsidRPr="00C80EC5">
        <w:t>offer</w:t>
      </w:r>
      <w:r w:rsidR="008D71F1" w:rsidRPr="00C80EC5">
        <w:t xml:space="preserve"> explicit</w:t>
      </w:r>
      <w:r w:rsidR="00E2020D" w:rsidRPr="00C80EC5">
        <w:t xml:space="preserve"> responses</w:t>
      </w:r>
      <w:r w:rsidR="007F66AC" w:rsidRPr="00C80EC5">
        <w:t xml:space="preserve">. </w:t>
      </w:r>
    </w:p>
    <w:p w:rsidR="00877AD5" w:rsidRPr="00C80EC5" w:rsidRDefault="00F81AF8" w:rsidP="00F51938">
      <w:pPr>
        <w:spacing w:line="480" w:lineRule="auto"/>
        <w:ind w:left="0"/>
        <w:jc w:val="both"/>
      </w:pPr>
      <w:r w:rsidRPr="00C80EC5">
        <w:t>Focusing on</w:t>
      </w:r>
      <w:r w:rsidR="00194C75" w:rsidRPr="00C80EC5">
        <w:t xml:space="preserve"> the question </w:t>
      </w:r>
      <w:r w:rsidR="0078033C" w:rsidRPr="00C80EC5">
        <w:t>of temporality, t</w:t>
      </w:r>
      <w:r w:rsidR="000D300D" w:rsidRPr="00C80EC5">
        <w:t xml:space="preserve">here is a </w:t>
      </w:r>
      <w:r w:rsidR="008B3B3E" w:rsidRPr="00C80EC5">
        <w:t>passage in Marcel Proust’s</w:t>
      </w:r>
      <w:r w:rsidR="008B3B3E" w:rsidRPr="00C80EC5">
        <w:rPr>
          <w:color w:val="595959" w:themeColor="text1" w:themeTint="A6"/>
        </w:rPr>
        <w:t xml:space="preserve"> ‘</w:t>
      </w:r>
      <w:r w:rsidR="008B3B3E" w:rsidRPr="00C80EC5">
        <w:rPr>
          <w:i/>
        </w:rPr>
        <w:t xml:space="preserve">À la recherché du temps </w:t>
      </w:r>
      <w:proofErr w:type="spellStart"/>
      <w:r w:rsidR="008B3B3E" w:rsidRPr="00C80EC5">
        <w:rPr>
          <w:i/>
        </w:rPr>
        <w:t>perdu</w:t>
      </w:r>
      <w:proofErr w:type="spellEnd"/>
      <w:r w:rsidR="008B3B3E" w:rsidRPr="00C80EC5">
        <w:t>’</w:t>
      </w:r>
      <w:r w:rsidR="0078033C" w:rsidRPr="00C80EC5">
        <w:t xml:space="preserve"> that</w:t>
      </w:r>
      <w:r w:rsidR="000D300D" w:rsidRPr="00C80EC5">
        <w:t xml:space="preserve"> is cited so often that it is almost a cliché. It</w:t>
      </w:r>
      <w:r w:rsidR="0078033C" w:rsidRPr="00C80EC5">
        <w:t xml:space="preserve"> might</w:t>
      </w:r>
      <w:r w:rsidR="000D300D" w:rsidRPr="00C80EC5">
        <w:t>, however,</w:t>
      </w:r>
      <w:r w:rsidR="008B3B3E" w:rsidRPr="00C80EC5">
        <w:t xml:space="preserve"> offer more nuanced insights into </w:t>
      </w:r>
      <w:r w:rsidR="00C5732A" w:rsidRPr="00C80EC5">
        <w:t>the role of recollection</w:t>
      </w:r>
      <w:r w:rsidR="0078033C" w:rsidRPr="00C80EC5">
        <w:t xml:space="preserve"> and anticipation</w:t>
      </w:r>
      <w:r w:rsidR="0011068A">
        <w:t xml:space="preserve"> in the context of taste</w:t>
      </w:r>
      <w:r w:rsidR="0096309C" w:rsidRPr="00C80EC5">
        <w:t>.</w:t>
      </w:r>
      <w:r w:rsidR="0011068A">
        <w:rPr>
          <w:rStyle w:val="Fodnotehenvisning"/>
        </w:rPr>
        <w:footnoteReference w:id="46"/>
      </w:r>
      <w:r w:rsidR="009C4689" w:rsidRPr="00C80EC5">
        <w:t xml:space="preserve"> Despite being</w:t>
      </w:r>
      <w:r w:rsidR="0096309C" w:rsidRPr="00C80EC5">
        <w:rPr>
          <w:color w:val="595959" w:themeColor="text1" w:themeTint="A6"/>
        </w:rPr>
        <w:t xml:space="preserve"> borrowed </w:t>
      </w:r>
      <w:r w:rsidR="0096309C" w:rsidRPr="00C80EC5">
        <w:t>from</w:t>
      </w:r>
      <w:r w:rsidR="009C4689" w:rsidRPr="00C80EC5">
        <w:t xml:space="preserve"> a work of fiction</w:t>
      </w:r>
      <w:r w:rsidR="006E6E94" w:rsidRPr="00C80EC5">
        <w:t>, the passage nevertheless carries</w:t>
      </w:r>
      <w:r w:rsidR="009C4689" w:rsidRPr="00C80EC5">
        <w:t xml:space="preserve"> some philosophical weight</w:t>
      </w:r>
      <w:r w:rsidR="0096309C" w:rsidRPr="00C80EC5">
        <w:t>.</w:t>
      </w:r>
      <w:r w:rsidR="00CA67CF" w:rsidRPr="00C80EC5">
        <w:t xml:space="preserve"> </w:t>
      </w:r>
      <w:r w:rsidR="00DE337C" w:rsidRPr="00C80EC5">
        <w:t>In the pas</w:t>
      </w:r>
      <w:r w:rsidR="00C55612" w:rsidRPr="00C80EC5">
        <w:t>sage, Proust’s</w:t>
      </w:r>
      <w:r w:rsidR="00531411" w:rsidRPr="00C80EC5">
        <w:t xml:space="preserve"> narrator tastes</w:t>
      </w:r>
      <w:r w:rsidR="00C1153D" w:rsidRPr="00C80EC5">
        <w:t xml:space="preserve"> a bite</w:t>
      </w:r>
      <w:r w:rsidR="00D63A8D" w:rsidRPr="00C80EC5">
        <w:t xml:space="preserve"> of</w:t>
      </w:r>
      <w:r w:rsidR="002B4FC3" w:rsidRPr="00C80EC5">
        <w:t xml:space="preserve"> a </w:t>
      </w:r>
      <w:r w:rsidR="002B4FC3" w:rsidRPr="00C80EC5">
        <w:rPr>
          <w:i/>
        </w:rPr>
        <w:t>madeleine</w:t>
      </w:r>
      <w:r w:rsidR="00D63A8D" w:rsidRPr="00C80EC5">
        <w:t xml:space="preserve"> left o</w:t>
      </w:r>
      <w:r w:rsidR="0042470C" w:rsidRPr="00C80EC5">
        <w:t>n a spoon from which he sips some leftover</w:t>
      </w:r>
      <w:r w:rsidR="00D63A8D" w:rsidRPr="00C80EC5">
        <w:t xml:space="preserve"> tea</w:t>
      </w:r>
      <w:r w:rsidR="00531411" w:rsidRPr="00C80EC5">
        <w:t xml:space="preserve"> and when tasting it </w:t>
      </w:r>
      <w:r w:rsidR="0042470C" w:rsidRPr="00C80EC5">
        <w:t>he realises that the joy accompanying</w:t>
      </w:r>
      <w:r w:rsidR="00531411" w:rsidRPr="00C80EC5">
        <w:t xml:space="preserve"> the sensory impression</w:t>
      </w:r>
      <w:r w:rsidR="0042470C" w:rsidRPr="00C80EC5">
        <w:t xml:space="preserve"> refers to the </w:t>
      </w:r>
      <w:proofErr w:type="spellStart"/>
      <w:r w:rsidR="0042470C" w:rsidRPr="00C80EC5">
        <w:t>Combray</w:t>
      </w:r>
      <w:proofErr w:type="spellEnd"/>
      <w:r w:rsidR="0042470C" w:rsidRPr="00C80EC5">
        <w:t xml:space="preserve"> of his</w:t>
      </w:r>
      <w:r w:rsidR="00814A6C" w:rsidRPr="00C80EC5">
        <w:t xml:space="preserve"> early</w:t>
      </w:r>
      <w:r w:rsidR="0042470C" w:rsidRPr="00C80EC5">
        <w:t xml:space="preserve"> childhood. To Sunday mornings in the company of his aunt who let him taste small bits of </w:t>
      </w:r>
      <w:r w:rsidR="0042470C" w:rsidRPr="00C80EC5">
        <w:rPr>
          <w:i/>
        </w:rPr>
        <w:t>madeleine</w:t>
      </w:r>
      <w:r w:rsidR="0042470C" w:rsidRPr="00C80EC5">
        <w:t xml:space="preserve"> soaked in tea. </w:t>
      </w:r>
      <w:r w:rsidR="00C036E1" w:rsidRPr="00C80EC5">
        <w:t>When struggling to recall the image</w:t>
      </w:r>
      <w:r w:rsidR="00C55612" w:rsidRPr="00C80EC5">
        <w:t>s</w:t>
      </w:r>
      <w:r w:rsidR="00C036E1" w:rsidRPr="00C80EC5">
        <w:t xml:space="preserve"> of these mornings, he </w:t>
      </w:r>
      <w:r w:rsidR="00CA67CF" w:rsidRPr="00C80EC5">
        <w:t>repeats the tasting-process</w:t>
      </w:r>
      <w:r w:rsidR="00CA67CF" w:rsidRPr="00C80EC5">
        <w:rPr>
          <w:color w:val="595959" w:themeColor="text1" w:themeTint="A6"/>
        </w:rPr>
        <w:t xml:space="preserve">, expecting to recreate the gustatory encounter and </w:t>
      </w:r>
      <w:r w:rsidR="00CA67CF" w:rsidRPr="00C80EC5">
        <w:rPr>
          <w:color w:val="595959" w:themeColor="text1" w:themeTint="A6"/>
        </w:rPr>
        <w:lastRenderedPageBreak/>
        <w:t xml:space="preserve">thereby </w:t>
      </w:r>
      <w:r w:rsidR="000D0E13" w:rsidRPr="00C80EC5">
        <w:rPr>
          <w:color w:val="595959" w:themeColor="text1" w:themeTint="A6"/>
        </w:rPr>
        <w:t xml:space="preserve">coming to </w:t>
      </w:r>
      <w:r w:rsidR="00CA67CF" w:rsidRPr="00C80EC5">
        <w:rPr>
          <w:color w:val="595959" w:themeColor="text1" w:themeTint="A6"/>
        </w:rPr>
        <w:t xml:space="preserve">understand the emotional response to the taste of the </w:t>
      </w:r>
      <w:r w:rsidR="00CA67CF" w:rsidRPr="00C80EC5">
        <w:rPr>
          <w:i/>
          <w:color w:val="595959" w:themeColor="text1" w:themeTint="A6"/>
        </w:rPr>
        <w:t xml:space="preserve">madeleine. </w:t>
      </w:r>
      <w:r w:rsidR="00620824" w:rsidRPr="00C80EC5">
        <w:rPr>
          <w:color w:val="595959" w:themeColor="text1" w:themeTint="A6"/>
        </w:rPr>
        <w:t>In the course of this process,</w:t>
      </w:r>
      <w:r w:rsidR="00CA67CF" w:rsidRPr="00C80EC5">
        <w:rPr>
          <w:color w:val="595959" w:themeColor="text1" w:themeTint="A6"/>
        </w:rPr>
        <w:t xml:space="preserve"> he </w:t>
      </w:r>
      <w:r w:rsidR="00C036E1" w:rsidRPr="00C80EC5">
        <w:t>understands that the image</w:t>
      </w:r>
      <w:r w:rsidR="00C55612" w:rsidRPr="00C80EC5">
        <w:t>s are</w:t>
      </w:r>
      <w:r w:rsidR="00C036E1" w:rsidRPr="00C80EC5">
        <w:t xml:space="preserve"> neither in him, nor in the cake. </w:t>
      </w:r>
      <w:r w:rsidR="00C55612" w:rsidRPr="00C80EC5">
        <w:t>They are</w:t>
      </w:r>
      <w:r w:rsidR="00C036E1" w:rsidRPr="00C80EC5">
        <w:t xml:space="preserve"> in the connection that is formed in the sensory encounter. And, he realises that the recollection is mediated by taste and not by sight as he remembers having seen the cakes in the windows at the baker</w:t>
      </w:r>
      <w:r w:rsidR="00F871F7" w:rsidRPr="00C80EC5">
        <w:t>y</w:t>
      </w:r>
      <w:r w:rsidR="00C036E1" w:rsidRPr="00C80EC5">
        <w:t xml:space="preserve"> without having formed the link to his</w:t>
      </w:r>
      <w:r w:rsidR="001724DB" w:rsidRPr="00C80EC5">
        <w:t xml:space="preserve"> early</w:t>
      </w:r>
      <w:r w:rsidR="00C036E1" w:rsidRPr="00C80EC5">
        <w:t xml:space="preserve"> childhood. </w:t>
      </w:r>
      <w:r w:rsidR="00C55612" w:rsidRPr="00C80EC5">
        <w:t xml:space="preserve">What the passage reveals is that what might be called the traditional hierarchy of senses in the context of cognition is reversed. </w:t>
      </w:r>
      <w:r w:rsidR="00620824" w:rsidRPr="00C80EC5">
        <w:t>T</w:t>
      </w:r>
      <w:r w:rsidR="000D0E13" w:rsidRPr="00C80EC5">
        <w:t xml:space="preserve">he position of taste as a </w:t>
      </w:r>
      <w:r w:rsidR="00C375EE" w:rsidRPr="00C80EC5">
        <w:t xml:space="preserve">gateway to cognition is reinforced at the expense of sight – it is in the moment where the narrator tastes the </w:t>
      </w:r>
      <w:r w:rsidR="00C375EE" w:rsidRPr="00C80EC5">
        <w:rPr>
          <w:i/>
        </w:rPr>
        <w:t xml:space="preserve">madeleine, </w:t>
      </w:r>
      <w:r w:rsidR="00C375EE" w:rsidRPr="00C80EC5">
        <w:t>not when he sees it,</w:t>
      </w:r>
      <w:r w:rsidR="00C375EE" w:rsidRPr="00C80EC5">
        <w:rPr>
          <w:i/>
        </w:rPr>
        <w:t xml:space="preserve"> </w:t>
      </w:r>
      <w:r w:rsidR="00C375EE" w:rsidRPr="00C80EC5">
        <w:t xml:space="preserve">that he is overcome with emotion and up of his teacup emerges a past that is no longer retrievable except in the form of mental images. </w:t>
      </w:r>
      <w:r w:rsidR="000D0E13" w:rsidRPr="00C80EC5">
        <w:t xml:space="preserve">The strength of these images is </w:t>
      </w:r>
      <w:r w:rsidR="00C036E1" w:rsidRPr="00C80EC5">
        <w:t>articulated as a distinction between, on one hand, the recollection of physical objects that are reconstructed in a reflective process and recalled in the form of rather vague mental images and, on the other hand, the stronger and more persistent recollection through taste. Hence, Proust suggests that in recollection the images of physical objects having appeared to the eyes are vague, while taste initiates a different kind of recollection that is stronger and more persistent, even if it is also more delicate.</w:t>
      </w:r>
      <w:r w:rsidR="00177AEC" w:rsidRPr="00C80EC5">
        <w:t xml:space="preserve"> </w:t>
      </w:r>
      <w:r w:rsidR="00877AD5" w:rsidRPr="00C80EC5">
        <w:t>Furthermore, he implies</w:t>
      </w:r>
      <w:r w:rsidR="00473B8E" w:rsidRPr="00C80EC5">
        <w:t xml:space="preserve"> interplay between recollection and anticipation </w:t>
      </w:r>
      <w:r w:rsidR="00786F00" w:rsidRPr="00C80EC5">
        <w:t xml:space="preserve">in the sense </w:t>
      </w:r>
      <w:r w:rsidR="00786F00" w:rsidRPr="00C80EC5">
        <w:rPr>
          <w:color w:val="595959" w:themeColor="text1" w:themeTint="A6"/>
        </w:rPr>
        <w:t>that</w:t>
      </w:r>
      <w:r w:rsidR="008E2AC8" w:rsidRPr="00C80EC5">
        <w:rPr>
          <w:color w:val="595959" w:themeColor="text1" w:themeTint="A6"/>
        </w:rPr>
        <w:t xml:space="preserve"> </w:t>
      </w:r>
      <w:r w:rsidR="00C55612" w:rsidRPr="00C80EC5">
        <w:rPr>
          <w:color w:val="595959" w:themeColor="text1" w:themeTint="A6"/>
        </w:rPr>
        <w:t>anticipation is a product</w:t>
      </w:r>
      <w:r w:rsidR="00786F00" w:rsidRPr="00C80EC5">
        <w:rPr>
          <w:color w:val="595959" w:themeColor="text1" w:themeTint="A6"/>
        </w:rPr>
        <w:t xml:space="preserve"> of recollection – it is in the recreation of a for</w:t>
      </w:r>
      <w:r w:rsidR="00C55612" w:rsidRPr="00C80EC5">
        <w:rPr>
          <w:color w:val="595959" w:themeColor="text1" w:themeTint="A6"/>
        </w:rPr>
        <w:t>mer gustatory encounter that Proust’s</w:t>
      </w:r>
      <w:r w:rsidR="00786F00" w:rsidRPr="00C80EC5">
        <w:rPr>
          <w:color w:val="595959" w:themeColor="text1" w:themeTint="A6"/>
        </w:rPr>
        <w:t xml:space="preserve"> narrator anticipates a pathway towards understanding the emotional impact of re-taste.</w:t>
      </w:r>
      <w:r w:rsidR="0011068A">
        <w:rPr>
          <w:rStyle w:val="Fodnotehenvisning"/>
        </w:rPr>
        <w:footnoteReference w:id="47"/>
      </w:r>
    </w:p>
    <w:p w:rsidR="003023AF" w:rsidRPr="00C80EC5" w:rsidRDefault="001F4D2C" w:rsidP="00AB43C9">
      <w:pPr>
        <w:spacing w:line="480" w:lineRule="auto"/>
        <w:ind w:left="0"/>
        <w:jc w:val="both"/>
        <w:rPr>
          <w:color w:val="595959" w:themeColor="text1" w:themeTint="A6"/>
        </w:rPr>
      </w:pPr>
      <w:r w:rsidRPr="00C80EC5">
        <w:rPr>
          <w:color w:val="595959" w:themeColor="text1" w:themeTint="A6"/>
        </w:rPr>
        <w:t>In</w:t>
      </w:r>
      <w:r w:rsidR="00620824" w:rsidRPr="00C80EC5">
        <w:rPr>
          <w:color w:val="595959" w:themeColor="text1" w:themeTint="A6"/>
        </w:rPr>
        <w:t xml:space="preserve"> the question of </w:t>
      </w:r>
      <w:r w:rsidR="00620824" w:rsidRPr="00C80EC5">
        <w:t xml:space="preserve">whether the </w:t>
      </w:r>
      <w:r w:rsidR="00D35238" w:rsidRPr="00C80EC5">
        <w:t>multi-faceted nature</w:t>
      </w:r>
      <w:r w:rsidR="00620824" w:rsidRPr="00C80EC5">
        <w:t xml:space="preserve"> of taste is indicative of a privileged but hitherto relatively unexplored access to cognition</w:t>
      </w:r>
      <w:r w:rsidR="003023AF" w:rsidRPr="00C80EC5">
        <w:t>,</w:t>
      </w:r>
      <w:r w:rsidRPr="00C80EC5">
        <w:t xml:space="preserve"> the interplay between recollection and anticipation </w:t>
      </w:r>
      <w:r w:rsidR="00D35238" w:rsidRPr="00C80EC5">
        <w:t xml:space="preserve">provides </w:t>
      </w:r>
      <w:r w:rsidR="00D35238" w:rsidRPr="00C80EC5">
        <w:rPr>
          <w:color w:val="595959" w:themeColor="text1" w:themeTint="A6"/>
        </w:rPr>
        <w:t>another</w:t>
      </w:r>
      <w:r w:rsidR="00D35238" w:rsidRPr="00C80EC5">
        <w:t xml:space="preserve"> component</w:t>
      </w:r>
      <w:r w:rsidRPr="00C80EC5">
        <w:t xml:space="preserve"> to the synthesis of </w:t>
      </w:r>
      <w:r w:rsidR="00D35238" w:rsidRPr="00C80EC5">
        <w:t xml:space="preserve">the </w:t>
      </w:r>
      <w:r w:rsidRPr="00C80EC5">
        <w:t>sensory impressions.</w:t>
      </w:r>
      <w:r w:rsidR="00D35238" w:rsidRPr="00C80EC5">
        <w:t xml:space="preserve"> </w:t>
      </w:r>
      <w:r w:rsidR="009F79C8" w:rsidRPr="00C80EC5">
        <w:t>An</w:t>
      </w:r>
      <w:r w:rsidR="00D35238" w:rsidRPr="00C80EC5">
        <w:t xml:space="preserve"> additional facet </w:t>
      </w:r>
      <w:r w:rsidR="009F79C8" w:rsidRPr="00C80EC5">
        <w:t>that might</w:t>
      </w:r>
      <w:r w:rsidR="00D35238" w:rsidRPr="00C80EC5">
        <w:t xml:space="preserve"> provide a basis for </w:t>
      </w:r>
      <w:r w:rsidR="00D35238" w:rsidRPr="00C80EC5">
        <w:rPr>
          <w:color w:val="595959" w:themeColor="text1" w:themeTint="A6"/>
        </w:rPr>
        <w:t>implying</w:t>
      </w:r>
      <w:r w:rsidR="00D35238" w:rsidRPr="00C80EC5">
        <w:rPr>
          <w:color w:val="FF0000"/>
        </w:rPr>
        <w:t xml:space="preserve"> </w:t>
      </w:r>
      <w:r w:rsidR="00D35238" w:rsidRPr="00C80EC5">
        <w:t xml:space="preserve">a particular strength in the taste-experience as indicated in Proust. </w:t>
      </w:r>
      <w:r w:rsidR="00A4621E" w:rsidRPr="00C80EC5">
        <w:t>The synthesis of an external object</w:t>
      </w:r>
      <w:r w:rsidR="00FD54CB" w:rsidRPr="00C80EC5">
        <w:t xml:space="preserve">, a cube as an example, is also a synthesis of multiple sensory impressions in which the prior encounter with the object plays a role in the determination of the cube as a cube. What </w:t>
      </w:r>
      <w:proofErr w:type="gramStart"/>
      <w:r w:rsidR="00FD54CB" w:rsidRPr="00C80EC5">
        <w:t>is</w:t>
      </w:r>
      <w:proofErr w:type="gramEnd"/>
      <w:r w:rsidR="00FD54CB" w:rsidRPr="00C80EC5">
        <w:t xml:space="preserve"> it then that should make taste a stronger vehicle for cognition than sight or tactility or hearing or smell? </w:t>
      </w:r>
      <w:r w:rsidR="00C31EE7" w:rsidRPr="00C80EC5">
        <w:t>Incorporation</w:t>
      </w:r>
      <w:r w:rsidR="00C31EE7" w:rsidRPr="00C80EC5">
        <w:rPr>
          <w:color w:val="FF0000"/>
        </w:rPr>
        <w:t xml:space="preserve"> </w:t>
      </w:r>
      <w:r w:rsidR="00C31EE7" w:rsidRPr="00C80EC5">
        <w:rPr>
          <w:color w:val="595959" w:themeColor="text1" w:themeTint="A6"/>
        </w:rPr>
        <w:t>comes to mind. It was mentioned previously that</w:t>
      </w:r>
      <w:r w:rsidR="008A544A" w:rsidRPr="00C80EC5">
        <w:rPr>
          <w:color w:val="595959" w:themeColor="text1" w:themeTint="A6"/>
        </w:rPr>
        <w:t xml:space="preserve"> the </w:t>
      </w:r>
      <w:r w:rsidR="008A544A" w:rsidRPr="00C80EC5">
        <w:t xml:space="preserve">physical encounter that takes place in the mouth provides an exceptional case of sensation. It is a particular instance </w:t>
      </w:r>
      <w:r w:rsidR="008A544A" w:rsidRPr="00C80EC5">
        <w:rPr>
          <w:color w:val="595959" w:themeColor="text1" w:themeTint="A6"/>
        </w:rPr>
        <w:t xml:space="preserve">of </w:t>
      </w:r>
      <w:r w:rsidR="00C31EE7" w:rsidRPr="00C80EC5">
        <w:rPr>
          <w:color w:val="595959" w:themeColor="text1" w:themeTint="A6"/>
        </w:rPr>
        <w:t>the interplay between the perception of external objects and the perception of one’s own bo</w:t>
      </w:r>
      <w:r w:rsidR="008A544A" w:rsidRPr="00C80EC5">
        <w:rPr>
          <w:color w:val="595959" w:themeColor="text1" w:themeTint="A6"/>
        </w:rPr>
        <w:t>dy</w:t>
      </w:r>
      <w:r w:rsidR="00C31EE7" w:rsidRPr="00C80EC5">
        <w:rPr>
          <w:color w:val="595959" w:themeColor="text1" w:themeTint="A6"/>
        </w:rPr>
        <w:t xml:space="preserve">. </w:t>
      </w:r>
      <w:r w:rsidR="005D3D86" w:rsidRPr="00C80EC5">
        <w:rPr>
          <w:color w:val="595959" w:themeColor="text1" w:themeTint="A6"/>
        </w:rPr>
        <w:t>Contrary to sight, as an example, where the intentional act is directed towards the external object and not</w:t>
      </w:r>
      <w:r w:rsidR="004B7531" w:rsidRPr="00C80EC5">
        <w:rPr>
          <w:color w:val="595959" w:themeColor="text1" w:themeTint="A6"/>
        </w:rPr>
        <w:t xml:space="preserve"> one’s own eyes, taste involves</w:t>
      </w:r>
      <w:r w:rsidR="005D3D86" w:rsidRPr="00C80EC5">
        <w:rPr>
          <w:color w:val="595959" w:themeColor="text1" w:themeTint="A6"/>
        </w:rPr>
        <w:t xml:space="preserve"> both the </w:t>
      </w:r>
      <w:r w:rsidR="004B7531" w:rsidRPr="00C80EC5">
        <w:rPr>
          <w:color w:val="595959" w:themeColor="text1" w:themeTint="A6"/>
        </w:rPr>
        <w:t>external object and the bodily</w:t>
      </w:r>
      <w:r w:rsidR="00FF0F12" w:rsidRPr="00C80EC5">
        <w:rPr>
          <w:color w:val="595959" w:themeColor="text1" w:themeTint="A6"/>
        </w:rPr>
        <w:t xml:space="preserve"> sensation</w:t>
      </w:r>
      <w:r w:rsidR="00F132BC" w:rsidRPr="00C80EC5">
        <w:rPr>
          <w:color w:val="595959" w:themeColor="text1" w:themeTint="A6"/>
        </w:rPr>
        <w:t xml:space="preserve"> in the mouth</w:t>
      </w:r>
      <w:r w:rsidR="00FF0F12" w:rsidRPr="00C80EC5">
        <w:rPr>
          <w:color w:val="595959" w:themeColor="text1" w:themeTint="A6"/>
        </w:rPr>
        <w:t>.</w:t>
      </w:r>
      <w:r w:rsidR="009A2D87" w:rsidRPr="00C80EC5">
        <w:rPr>
          <w:color w:val="595959" w:themeColor="text1" w:themeTint="A6"/>
        </w:rPr>
        <w:t xml:space="preserve"> In </w:t>
      </w:r>
      <w:r w:rsidR="00C31EE7" w:rsidRPr="00C80EC5">
        <w:rPr>
          <w:color w:val="595959" w:themeColor="text1" w:themeTint="A6"/>
        </w:rPr>
        <w:t xml:space="preserve">the process that takes place in the mouth the food transforms significantly, </w:t>
      </w:r>
      <w:r w:rsidR="00C31EE7" w:rsidRPr="00C80EC5">
        <w:rPr>
          <w:color w:val="595959" w:themeColor="text1" w:themeTint="A6"/>
        </w:rPr>
        <w:lastRenderedPageBreak/>
        <w:t>culminating in the moment of incorporation. At this moment, the tasted food ceases to be an object. It enters the body and transforms into being part of the body.</w:t>
      </w:r>
      <w:r w:rsidR="00FD54CB" w:rsidRPr="00C80EC5">
        <w:rPr>
          <w:color w:val="595959" w:themeColor="text1" w:themeTint="A6"/>
        </w:rPr>
        <w:t xml:space="preserve"> The corporal imprint left by this kind of sensation is, hence, of a</w:t>
      </w:r>
      <w:r w:rsidR="00F37576" w:rsidRPr="00C80EC5">
        <w:rPr>
          <w:color w:val="595959" w:themeColor="text1" w:themeTint="A6"/>
        </w:rPr>
        <w:t>n entirely</w:t>
      </w:r>
      <w:r w:rsidR="00FD54CB" w:rsidRPr="00C80EC5">
        <w:rPr>
          <w:color w:val="595959" w:themeColor="text1" w:themeTint="A6"/>
        </w:rPr>
        <w:t xml:space="preserve"> different nature</w:t>
      </w:r>
      <w:r w:rsidR="00FF0F12" w:rsidRPr="00C80EC5">
        <w:rPr>
          <w:color w:val="595959" w:themeColor="text1" w:themeTint="A6"/>
        </w:rPr>
        <w:t xml:space="preserve"> than the</w:t>
      </w:r>
      <w:r w:rsidR="006075AF" w:rsidRPr="00C80EC5">
        <w:rPr>
          <w:color w:val="595959" w:themeColor="text1" w:themeTint="A6"/>
        </w:rPr>
        <w:t xml:space="preserve"> lingering but</w:t>
      </w:r>
      <w:r w:rsidR="00FF0F12" w:rsidRPr="00C80EC5">
        <w:rPr>
          <w:color w:val="595959" w:themeColor="text1" w:themeTint="A6"/>
        </w:rPr>
        <w:t xml:space="preserve"> </w:t>
      </w:r>
      <w:r w:rsidR="006075AF" w:rsidRPr="00C80EC5">
        <w:rPr>
          <w:color w:val="595959" w:themeColor="text1" w:themeTint="A6"/>
        </w:rPr>
        <w:t>vague</w:t>
      </w:r>
      <w:r w:rsidR="00FF0F12" w:rsidRPr="00C80EC5">
        <w:rPr>
          <w:color w:val="595959" w:themeColor="text1" w:themeTint="A6"/>
        </w:rPr>
        <w:t xml:space="preserve"> images</w:t>
      </w:r>
      <w:r w:rsidR="006075AF" w:rsidRPr="00C80EC5">
        <w:rPr>
          <w:color w:val="595959" w:themeColor="text1" w:themeTint="A6"/>
        </w:rPr>
        <w:t xml:space="preserve"> and effects</w:t>
      </w:r>
      <w:r w:rsidR="00FF0F12" w:rsidRPr="00C80EC5">
        <w:rPr>
          <w:color w:val="595959" w:themeColor="text1" w:themeTint="A6"/>
        </w:rPr>
        <w:t xml:space="preserve"> derived from sight, </w:t>
      </w:r>
      <w:r w:rsidR="006075AF" w:rsidRPr="00C80EC5">
        <w:rPr>
          <w:color w:val="595959" w:themeColor="text1" w:themeTint="A6"/>
        </w:rPr>
        <w:t>sound and</w:t>
      </w:r>
      <w:r w:rsidR="00FF0F12" w:rsidRPr="00C80EC5">
        <w:rPr>
          <w:color w:val="595959" w:themeColor="text1" w:themeTint="A6"/>
        </w:rPr>
        <w:t xml:space="preserve"> touch</w:t>
      </w:r>
      <w:r w:rsidR="00F37576" w:rsidRPr="00C80EC5">
        <w:rPr>
          <w:color w:val="595959" w:themeColor="text1" w:themeTint="A6"/>
        </w:rPr>
        <w:t xml:space="preserve">. </w:t>
      </w:r>
    </w:p>
    <w:p w:rsidR="00E823A7" w:rsidRPr="00C80EC5" w:rsidRDefault="00E823A7" w:rsidP="0015074A">
      <w:pPr>
        <w:pStyle w:val="Overskrift5"/>
        <w:spacing w:line="480" w:lineRule="auto"/>
        <w:ind w:left="0"/>
        <w:jc w:val="both"/>
        <w:rPr>
          <w:i/>
        </w:rPr>
      </w:pPr>
      <w:r w:rsidRPr="00C80EC5">
        <w:rPr>
          <w:i/>
        </w:rPr>
        <w:t>Learning about and through taste</w:t>
      </w:r>
    </w:p>
    <w:p w:rsidR="00CC175B" w:rsidRPr="00C80EC5" w:rsidRDefault="002202F0" w:rsidP="006A0688">
      <w:pPr>
        <w:spacing w:line="480" w:lineRule="auto"/>
        <w:ind w:left="0"/>
        <w:jc w:val="both"/>
      </w:pPr>
      <w:r w:rsidRPr="00C80EC5">
        <w:t>If, as put forward by Dewey, the task in education is to select the kind of present experience that provides opportunities for expanding the horizon of the pupils and inspire them to personal growth, then the question that arises out of the</w:t>
      </w:r>
      <w:r w:rsidR="00D5198A" w:rsidRPr="00C80EC5">
        <w:t xml:space="preserve"> previous pages</w:t>
      </w:r>
      <w:r w:rsidRPr="00C80EC5">
        <w:t xml:space="preserve"> is how</w:t>
      </w:r>
      <w:r w:rsidR="00CA6CDA" w:rsidRPr="00C80EC5">
        <w:t xml:space="preserve"> the apparent strength of experience</w:t>
      </w:r>
      <w:r w:rsidR="004B7750" w:rsidRPr="00C80EC5">
        <w:t xml:space="preserve"> through taste</w:t>
      </w:r>
      <w:r w:rsidRPr="00C80EC5">
        <w:t xml:space="preserve"> translates into </w:t>
      </w:r>
      <w:r w:rsidR="002E12CF" w:rsidRPr="00C80EC5">
        <w:t>educational activities</w:t>
      </w:r>
      <w:r w:rsidRPr="00C80EC5">
        <w:t>.</w:t>
      </w:r>
      <w:r w:rsidR="00C34B8C" w:rsidRPr="00C80EC5">
        <w:t xml:space="preserve"> </w:t>
      </w:r>
      <w:r w:rsidR="002B7932" w:rsidRPr="00C80EC5">
        <w:t>As already mentioned, a body of works referring to the employment of sensory experience in educational activities already exists. Such activities are often referred to as aesthetic learning-processes. However, aesthetics is a concept that is used in numerous contexts and not always with the same meaning, hence conceptual clarification seems relevant</w:t>
      </w:r>
      <w:r w:rsidR="00D33ABC" w:rsidRPr="00C80EC5">
        <w:t>.</w:t>
      </w:r>
      <w:r w:rsidR="0011068A">
        <w:rPr>
          <w:rStyle w:val="Fodnotehenvisning"/>
        </w:rPr>
        <w:footnoteReference w:id="48"/>
      </w:r>
    </w:p>
    <w:p w:rsidR="002B7932" w:rsidRPr="00C80EC5" w:rsidRDefault="002B7932" w:rsidP="006A0688">
      <w:pPr>
        <w:spacing w:line="480" w:lineRule="auto"/>
        <w:ind w:left="0"/>
        <w:jc w:val="both"/>
      </w:pPr>
      <w:r w:rsidRPr="00C80EC5">
        <w:t xml:space="preserve">In the context of this paper, aesthetics is </w:t>
      </w:r>
      <w:r w:rsidR="009A1B2D">
        <w:t>to be understood in terms of</w:t>
      </w:r>
      <w:r w:rsidRPr="00C80EC5">
        <w:t xml:space="preserve"> </w:t>
      </w:r>
      <w:r w:rsidR="009A1B2D">
        <w:t>‘</w:t>
      </w:r>
      <w:proofErr w:type="spellStart"/>
      <w:r w:rsidRPr="00C80EC5">
        <w:rPr>
          <w:i/>
        </w:rPr>
        <w:t>aisthesis</w:t>
      </w:r>
      <w:proofErr w:type="spellEnd"/>
      <w:r w:rsidRPr="00C80EC5">
        <w:t>’</w:t>
      </w:r>
      <w:r w:rsidR="009A1B2D">
        <w:t>, m</w:t>
      </w:r>
      <w:r w:rsidRPr="00C80EC5">
        <w:t>eaning that aesthetics is more than a concept to be used in the context of art</w:t>
      </w:r>
      <w:r w:rsidR="00385F42" w:rsidRPr="00C80EC5">
        <w:t xml:space="preserve"> – it is about what we perceive, observe, notic</w:t>
      </w:r>
      <w:r w:rsidR="0011068A">
        <w:t>e and grasp</w:t>
      </w:r>
      <w:r w:rsidR="00385F42" w:rsidRPr="00C80EC5">
        <w:t>.</w:t>
      </w:r>
      <w:r w:rsidR="0011068A">
        <w:rPr>
          <w:rStyle w:val="Fodnotehenvisning"/>
        </w:rPr>
        <w:footnoteReference w:id="49"/>
      </w:r>
      <w:r w:rsidR="00385F42" w:rsidRPr="00C80EC5">
        <w:t xml:space="preserve"> Aesth</w:t>
      </w:r>
      <w:r w:rsidR="00DB7CF7">
        <w:t>e</w:t>
      </w:r>
      <w:r w:rsidR="00385F42" w:rsidRPr="00C80EC5">
        <w:t xml:space="preserve">tics is, hence, </w:t>
      </w:r>
      <w:r w:rsidR="002A2FEB">
        <w:t xml:space="preserve">also </w:t>
      </w:r>
      <w:r w:rsidR="00385F42" w:rsidRPr="00C80EC5">
        <w:t>more than a question of what is considered beautiful or tastefully arranged</w:t>
      </w:r>
      <w:r w:rsidR="00231500">
        <w:t xml:space="preserve"> as it is often understood</w:t>
      </w:r>
      <w:r w:rsidR="002A2FEB">
        <w:t xml:space="preserve"> in everyday language</w:t>
      </w:r>
      <w:r w:rsidR="00385F42" w:rsidRPr="00C80EC5">
        <w:t>. It is about sensory experience in a broad sense. In this broad sense, the capacity for separating various forms of experience is relevant, not the least because the English language leaves little room for distinguishing by means of language alone. In German language, there is</w:t>
      </w:r>
      <w:r w:rsidR="00FB78E7">
        <w:t xml:space="preserve"> a difference between </w:t>
      </w:r>
      <w:r w:rsidR="00385F42" w:rsidRPr="00C80EC5">
        <w:t>experience in terms of ‘</w:t>
      </w:r>
      <w:proofErr w:type="spellStart"/>
      <w:r w:rsidR="00385F42" w:rsidRPr="00C80EC5">
        <w:rPr>
          <w:i/>
        </w:rPr>
        <w:t>Erlebnis</w:t>
      </w:r>
      <w:proofErr w:type="spellEnd"/>
      <w:r w:rsidR="00385F42" w:rsidRPr="00C80EC5">
        <w:t>’ and in terms of ‘</w:t>
      </w:r>
      <w:proofErr w:type="spellStart"/>
      <w:r w:rsidR="00385F42" w:rsidRPr="00C80EC5">
        <w:rPr>
          <w:i/>
        </w:rPr>
        <w:t>Erfahrung</w:t>
      </w:r>
      <w:proofErr w:type="spellEnd"/>
      <w:r w:rsidR="00385F42" w:rsidRPr="00C80EC5">
        <w:t xml:space="preserve">’. </w:t>
      </w:r>
      <w:proofErr w:type="gramStart"/>
      <w:r w:rsidR="00FB78E7">
        <w:t>E</w:t>
      </w:r>
      <w:r w:rsidR="00385F42" w:rsidRPr="00C80EC5">
        <w:t>xperience in the sense of ‘</w:t>
      </w:r>
      <w:proofErr w:type="spellStart"/>
      <w:r w:rsidR="00385F42" w:rsidRPr="00C80EC5">
        <w:rPr>
          <w:i/>
        </w:rPr>
        <w:t>Erlebnis</w:t>
      </w:r>
      <w:proofErr w:type="spellEnd"/>
      <w:r w:rsidR="00385F42" w:rsidRPr="00C80EC5">
        <w:t>’</w:t>
      </w:r>
      <w:r w:rsidR="00D33ABC" w:rsidRPr="00C80EC5">
        <w:t xml:space="preserve"> emerge</w:t>
      </w:r>
      <w:r w:rsidR="0003044C" w:rsidRPr="00C80EC5">
        <w:t>s</w:t>
      </w:r>
      <w:r w:rsidR="00D33ABC" w:rsidRPr="00C80EC5">
        <w:t xml:space="preserve"> in our immediate and pre-conceptual encounter with the world</w:t>
      </w:r>
      <w:r w:rsidR="0011068A">
        <w:rPr>
          <w:rStyle w:val="Fodnotehenvisning"/>
        </w:rPr>
        <w:footnoteReference w:id="50"/>
      </w:r>
      <w:r w:rsidR="0003044C" w:rsidRPr="00C80EC5">
        <w:t xml:space="preserve"> and is characterised by taking place in a limited time-frame.</w:t>
      </w:r>
      <w:proofErr w:type="gramEnd"/>
      <w:r w:rsidR="0003044C" w:rsidRPr="00C80EC5">
        <w:t xml:space="preserve"> </w:t>
      </w:r>
      <w:r w:rsidR="00FB78E7">
        <w:t>E</w:t>
      </w:r>
      <w:r w:rsidR="0003044C" w:rsidRPr="00C80EC5">
        <w:t>xperience in the sense of ‘</w:t>
      </w:r>
      <w:proofErr w:type="spellStart"/>
      <w:r w:rsidR="0003044C" w:rsidRPr="00C80EC5">
        <w:rPr>
          <w:i/>
        </w:rPr>
        <w:t>Erfahrung</w:t>
      </w:r>
      <w:proofErr w:type="spellEnd"/>
      <w:r w:rsidR="0003044C" w:rsidRPr="00C80EC5">
        <w:t xml:space="preserve">’ takes place in processes through which a </w:t>
      </w:r>
      <w:proofErr w:type="spellStart"/>
      <w:r w:rsidR="0003044C" w:rsidRPr="00C80EC5">
        <w:t>thematisation</w:t>
      </w:r>
      <w:proofErr w:type="spellEnd"/>
      <w:r w:rsidR="0003044C" w:rsidRPr="00C80EC5">
        <w:t xml:space="preserve"> of present and previous encounters with the world takes place, paving the way for new understandings.</w:t>
      </w:r>
      <w:r w:rsidR="00F579D3">
        <w:rPr>
          <w:rStyle w:val="Fodnotehenvisning"/>
        </w:rPr>
        <w:footnoteReference w:id="51"/>
      </w:r>
      <w:r w:rsidR="0003044C" w:rsidRPr="00C80EC5">
        <w:t xml:space="preserve"> This is not something that is merely subjective experience, but something that happens in the interplay with </w:t>
      </w:r>
      <w:r w:rsidR="00DE4442">
        <w:t>others</w:t>
      </w:r>
      <w:r w:rsidR="0003044C" w:rsidRPr="00C80EC5">
        <w:t>.</w:t>
      </w:r>
      <w:r w:rsidR="00DE4442">
        <w:rPr>
          <w:rStyle w:val="Fodnotehenvisning"/>
        </w:rPr>
        <w:footnoteReference w:id="52"/>
      </w:r>
      <w:r w:rsidR="00FB78E7">
        <w:t xml:space="preserve"> Aesthetic experience in the context of ‘</w:t>
      </w:r>
      <w:proofErr w:type="spellStart"/>
      <w:r w:rsidR="00FB78E7">
        <w:rPr>
          <w:i/>
        </w:rPr>
        <w:t>Erlebnis</w:t>
      </w:r>
      <w:proofErr w:type="spellEnd"/>
      <w:r w:rsidR="00FB78E7">
        <w:t>’ and ‘</w:t>
      </w:r>
      <w:proofErr w:type="spellStart"/>
      <w:r w:rsidR="00FB78E7">
        <w:rPr>
          <w:i/>
        </w:rPr>
        <w:t>Erfahrung</w:t>
      </w:r>
      <w:proofErr w:type="spellEnd"/>
      <w:r w:rsidR="00FB78E7">
        <w:t xml:space="preserve">’ is, hence, to be </w:t>
      </w:r>
      <w:r w:rsidR="00FB78E7">
        <w:lastRenderedPageBreak/>
        <w:t>understood in terms of either an immediate and temporall</w:t>
      </w:r>
      <w:r w:rsidR="009A1B2D">
        <w:t>y delimited</w:t>
      </w:r>
      <w:r w:rsidR="00FB78E7">
        <w:t xml:space="preserve"> encounter or a process through which</w:t>
      </w:r>
      <w:r w:rsidR="00C21281">
        <w:t xml:space="preserve"> the </w:t>
      </w:r>
      <w:proofErr w:type="spellStart"/>
      <w:r w:rsidR="00C21281">
        <w:t>thematisation</w:t>
      </w:r>
      <w:proofErr w:type="spellEnd"/>
      <w:r w:rsidR="00C21281">
        <w:t xml:space="preserve"> of experience contributes to new understandings.</w:t>
      </w:r>
      <w:r w:rsidR="0003044C" w:rsidRPr="00C80EC5">
        <w:t xml:space="preserve"> </w:t>
      </w:r>
      <w:r w:rsidR="000F769D" w:rsidRPr="00C80EC5">
        <w:t>Lastly, a broad understanding of aesthetics encompasses aesthetic judgment</w:t>
      </w:r>
      <w:r w:rsidR="00EC7B6B" w:rsidRPr="00C80EC5">
        <w:t xml:space="preserve"> – not merely in the form of assessing what is beautiful, pleasant or delicious, but as judgment regarding the whole spectre of sensory impressions. </w:t>
      </w:r>
      <w:r w:rsidR="00D33ABC" w:rsidRPr="00C80EC5">
        <w:t xml:space="preserve"> </w:t>
      </w:r>
      <w:r w:rsidR="00CF29A1" w:rsidRPr="00C80EC5">
        <w:t xml:space="preserve">Whether such judgment is passed by means of rationality or emotion has been discussed in the course of the history of philosophy. The strongest position being that of Immanuel Kant, to </w:t>
      </w:r>
      <w:proofErr w:type="gramStart"/>
      <w:r w:rsidR="00CF29A1" w:rsidRPr="00C80EC5">
        <w:t>who</w:t>
      </w:r>
      <w:proofErr w:type="gramEnd"/>
      <w:r w:rsidR="00CF29A1" w:rsidRPr="00C80EC5">
        <w:t xml:space="preserve"> the aesthetic judgment referred to a human ability to perceive objects in a disinteres</w:t>
      </w:r>
      <w:r w:rsidR="00DB7CF7">
        <w:t>t</w:t>
      </w:r>
      <w:r w:rsidR="00CF29A1" w:rsidRPr="00C80EC5">
        <w:t>ed manner and, hence, reach universally va</w:t>
      </w:r>
      <w:r w:rsidR="00DC410F">
        <w:t>lid judgments</w:t>
      </w:r>
      <w:r w:rsidR="00CF29A1" w:rsidRPr="00C80EC5">
        <w:t xml:space="preserve">. </w:t>
      </w:r>
    </w:p>
    <w:p w:rsidR="00345153" w:rsidRDefault="001872BF" w:rsidP="006A0688">
      <w:pPr>
        <w:spacing w:line="480" w:lineRule="auto"/>
        <w:ind w:left="0"/>
        <w:jc w:val="both"/>
      </w:pPr>
      <w:proofErr w:type="gramStart"/>
      <w:r w:rsidRPr="00C80EC5">
        <w:t xml:space="preserve">Transferring these insights to the field of educational activities, </w:t>
      </w:r>
      <w:r w:rsidR="00C9267B" w:rsidRPr="00C80EC5">
        <w:t>aesthetic experience in terms of ‘</w:t>
      </w:r>
      <w:proofErr w:type="spellStart"/>
      <w:r w:rsidR="00C9267B" w:rsidRPr="00C80EC5">
        <w:rPr>
          <w:i/>
        </w:rPr>
        <w:t>Erlebnis</w:t>
      </w:r>
      <w:proofErr w:type="spellEnd"/>
      <w:r w:rsidR="00C9267B" w:rsidRPr="00C80EC5">
        <w:t>’ might seem irrelevant due to the temporal limitations.</w:t>
      </w:r>
      <w:proofErr w:type="gramEnd"/>
      <w:r w:rsidR="00C9267B" w:rsidRPr="00C80EC5">
        <w:t xml:space="preserve"> However, taking the afore-mentioned strength of the corporal imprint into account, this kind of aesthetic experience is interesting in the context of learning-processes because </w:t>
      </w:r>
      <w:r w:rsidR="00C80EC5" w:rsidRPr="00C80EC5">
        <w:t xml:space="preserve">situations can be formed in the classroom that exercise an influence on the pupils and </w:t>
      </w:r>
      <w:r w:rsidR="00DB7CF7" w:rsidRPr="009A1B2D">
        <w:rPr>
          <w:color w:val="595959" w:themeColor="text1" w:themeTint="A6"/>
        </w:rPr>
        <w:t>initiate reactions towards</w:t>
      </w:r>
      <w:r w:rsidR="00C80EC5" w:rsidRPr="009A1B2D">
        <w:rPr>
          <w:color w:val="595959" w:themeColor="text1" w:themeTint="A6"/>
        </w:rPr>
        <w:t xml:space="preserve"> </w:t>
      </w:r>
      <w:r w:rsidR="00C80EC5" w:rsidRPr="00C80EC5">
        <w:t>non-conceptualised impression</w:t>
      </w:r>
      <w:r w:rsidR="00DB7CF7">
        <w:t>s</w:t>
      </w:r>
      <w:r w:rsidR="00C80EC5" w:rsidRPr="00C80EC5">
        <w:t>.</w:t>
      </w:r>
      <w:r w:rsidR="00C80EC5">
        <w:t xml:space="preserve"> Such experience is instantaneous and is quickly followed by identification, but before</w:t>
      </w:r>
      <w:r w:rsidR="001A0210">
        <w:t xml:space="preserve"> this identification there is a short window of time that calls upon the attention of </w:t>
      </w:r>
      <w:r w:rsidR="00577A8B">
        <w:t>the perceiver and influences his/her</w:t>
      </w:r>
      <w:r w:rsidR="001A0210">
        <w:t xml:space="preserve"> view of things and sit</w:t>
      </w:r>
      <w:r w:rsidR="00F579D3">
        <w:t>uations</w:t>
      </w:r>
      <w:r w:rsidR="001A0210">
        <w:t>.</w:t>
      </w:r>
      <w:r w:rsidR="00F579D3">
        <w:rPr>
          <w:rStyle w:val="Fodnotehenvisning"/>
        </w:rPr>
        <w:footnoteReference w:id="53"/>
      </w:r>
      <w:r w:rsidR="001A0210">
        <w:t xml:space="preserve"> It is this attention or directedness towards a kind of disturbance that taste-experience can offer when integrated into the </w:t>
      </w:r>
      <w:r w:rsidR="001A0210">
        <w:t>classroom as a means</w:t>
      </w:r>
      <w:r w:rsidR="00301F05">
        <w:t xml:space="preserve"> of</w:t>
      </w:r>
      <w:r w:rsidR="001A0210">
        <w:t xml:space="preserve"> </w:t>
      </w:r>
      <w:r w:rsidR="005771D8">
        <w:t>prompt</w:t>
      </w:r>
      <w:r w:rsidR="001A0210">
        <w:t>ing the curiosity of the pupils.</w:t>
      </w:r>
      <w:r w:rsidR="005A18C9">
        <w:t xml:space="preserve"> This can take place through unexpected stimuli</w:t>
      </w:r>
      <w:r w:rsidR="00F646BA">
        <w:t xml:space="preserve"> such as </w:t>
      </w:r>
      <w:r w:rsidR="00043AC0">
        <w:t>opening a class in physics/chemistry with a tasting of red cabbage</w:t>
      </w:r>
      <w:r w:rsidR="00203DD1">
        <w:t xml:space="preserve">. </w:t>
      </w:r>
      <w:r w:rsidR="00A925CB">
        <w:t>The means to catch the attention of the pupils is the glimpse of unrecognizability when the cabbage is</w:t>
      </w:r>
      <w:r w:rsidR="000355BE">
        <w:t xml:space="preserve"> presented in a range of different colours. </w:t>
      </w:r>
      <w:r w:rsidR="00660894">
        <w:t>This</w:t>
      </w:r>
      <w:r w:rsidR="000355BE">
        <w:t xml:space="preserve"> way of</w:t>
      </w:r>
      <w:r w:rsidR="00660894">
        <w:t xml:space="preserve"> catching their</w:t>
      </w:r>
      <w:r w:rsidR="00043AC0">
        <w:t xml:space="preserve"> attention is</w:t>
      </w:r>
      <w:r w:rsidR="000355BE">
        <w:t xml:space="preserve"> then</w:t>
      </w:r>
      <w:r w:rsidR="00043AC0">
        <w:t xml:space="preserve"> subsequently used to</w:t>
      </w:r>
      <w:r w:rsidR="00203DD1">
        <w:t xml:space="preserve"> let the pupil</w:t>
      </w:r>
      <w:r w:rsidR="00166C2B">
        <w:t>s experiment</w:t>
      </w:r>
      <w:r w:rsidR="00203DD1">
        <w:t xml:space="preserve"> with</w:t>
      </w:r>
      <w:r w:rsidR="00166C2B">
        <w:t xml:space="preserve"> various recipes</w:t>
      </w:r>
      <w:r w:rsidR="00203DD1">
        <w:t>, thereby</w:t>
      </w:r>
      <w:r w:rsidR="00043AC0">
        <w:t xml:space="preserve"> fulfil</w:t>
      </w:r>
      <w:r w:rsidR="00203DD1">
        <w:t xml:space="preserve">ling </w:t>
      </w:r>
      <w:r w:rsidR="00043AC0">
        <w:t>learning-goals</w:t>
      </w:r>
      <w:r w:rsidR="00B15D94">
        <w:t xml:space="preserve"> in physics/chemistry regarding</w:t>
      </w:r>
      <w:r w:rsidR="00043AC0">
        <w:t xml:space="preserve"> pH-value</w:t>
      </w:r>
      <w:r w:rsidR="00B15D94">
        <w:t xml:space="preserve">s and in </w:t>
      </w:r>
      <w:r w:rsidR="00C015CF">
        <w:t>home-economics regarding</w:t>
      </w:r>
      <w:r w:rsidR="00123A61">
        <w:t xml:space="preserve"> experiments in cooking involving</w:t>
      </w:r>
      <w:r w:rsidR="00C015CF">
        <w:t xml:space="preserve"> </w:t>
      </w:r>
      <w:r w:rsidR="009C510E">
        <w:t>the physical/chemical properties of foods.</w:t>
      </w:r>
      <w:r w:rsidR="00F579D3">
        <w:rPr>
          <w:rStyle w:val="Fodnotehenvisning"/>
        </w:rPr>
        <w:footnoteReference w:id="54"/>
      </w:r>
      <w:r w:rsidR="005A18C9">
        <w:t xml:space="preserve"> </w:t>
      </w:r>
      <w:r w:rsidR="007F639A">
        <w:t xml:space="preserve">The instantaneous </w:t>
      </w:r>
      <w:r w:rsidR="007F639A">
        <w:t>encounter can also take place through</w:t>
      </w:r>
      <w:r w:rsidR="007F4C47">
        <w:t xml:space="preserve"> </w:t>
      </w:r>
      <w:r w:rsidR="00F646BA">
        <w:t xml:space="preserve">puzzlement such as presenting the pupils with historical artefacts and local herbs – and utilise the attention prompted by surprise to guide the pupils towards specific learning-goals through the production and seasoning of mustard. In this case, the unexpected introduction of mustard-production can be followed by a session, in which they are asked to produce a commercial, promoting their mustard in order to meet learning-goals in the Danish language through the use of dramatic </w:t>
      </w:r>
      <w:r w:rsidR="00F646BA">
        <w:lastRenderedPageBreak/>
        <w:t>or interactive devices in media, and in history through the knowledge and understanding of the impact of historical events on local areas.</w:t>
      </w:r>
      <w:r w:rsidR="00F579D3">
        <w:rPr>
          <w:rStyle w:val="Fodnotehenvisning"/>
        </w:rPr>
        <w:footnoteReference w:id="55"/>
      </w:r>
    </w:p>
    <w:p w:rsidR="002210B9" w:rsidRPr="002F12D6" w:rsidRDefault="0091186C" w:rsidP="006A0688">
      <w:pPr>
        <w:spacing w:line="480" w:lineRule="auto"/>
        <w:ind w:left="0"/>
        <w:jc w:val="both"/>
      </w:pPr>
      <w:r>
        <w:t>Aesthetic experience in terms of ‘</w:t>
      </w:r>
      <w:r>
        <w:rPr>
          <w:i/>
        </w:rPr>
        <w:t xml:space="preserve"> </w:t>
      </w:r>
      <w:proofErr w:type="spellStart"/>
      <w:r>
        <w:rPr>
          <w:i/>
        </w:rPr>
        <w:t>Erfahrung</w:t>
      </w:r>
      <w:proofErr w:type="spellEnd"/>
      <w:r w:rsidR="006612D7">
        <w:t xml:space="preserve">’ </w:t>
      </w:r>
      <w:r w:rsidR="00B1572A">
        <w:t>may seem more adequate in the context of education as it refers to processes in which pr</w:t>
      </w:r>
      <w:r w:rsidR="002D543D">
        <w:t>esent and previous experience is</w:t>
      </w:r>
      <w:r w:rsidR="00B1572A">
        <w:t xml:space="preserve"> </w:t>
      </w:r>
      <w:proofErr w:type="spellStart"/>
      <w:r w:rsidR="00B1572A">
        <w:t>thematised</w:t>
      </w:r>
      <w:proofErr w:type="spellEnd"/>
      <w:r w:rsidR="00B1572A">
        <w:t xml:space="preserve">, thus forming a basis for new insights. </w:t>
      </w:r>
      <w:r w:rsidR="003F1718">
        <w:t xml:space="preserve">According to Dewey, it is crucial that such processes apply to the principle of continuity in the sense that the knowledge and skill gained has the </w:t>
      </w:r>
      <w:r w:rsidR="00365942">
        <w:t>capacity for</w:t>
      </w:r>
      <w:r w:rsidR="003F1718">
        <w:t xml:space="preserve"> becoming instrument</w:t>
      </w:r>
      <w:r w:rsidR="00365942">
        <w:t>s</w:t>
      </w:r>
      <w:r w:rsidR="003F1718">
        <w:t xml:space="preserve"> of understanding and mastering in</w:t>
      </w:r>
      <w:r w:rsidR="00045970">
        <w:t xml:space="preserve"> future situations</w:t>
      </w:r>
      <w:r w:rsidR="00E16AA9">
        <w:t>.</w:t>
      </w:r>
      <w:r w:rsidR="00F579D3">
        <w:rPr>
          <w:rStyle w:val="Fodnotehenvisning"/>
        </w:rPr>
        <w:footnoteReference w:id="56"/>
      </w:r>
      <w:r w:rsidR="00E16AA9">
        <w:t xml:space="preserve"> This can take place with reference to the afore-mentioned synthesis of sensory impressions through which the</w:t>
      </w:r>
      <w:r w:rsidR="00735E91">
        <w:t xml:space="preserve"> awareness of the</w:t>
      </w:r>
      <w:r w:rsidR="00E16AA9">
        <w:t xml:space="preserve"> contribution of each sense to the palatable whole</w:t>
      </w:r>
      <w:r w:rsidR="00735E91">
        <w:t xml:space="preserve"> modifies the quality of the experiences that follow because the pupil gradually acquires tools for discerning. </w:t>
      </w:r>
      <w:r w:rsidR="00F079AE">
        <w:t>In the classroom, the</w:t>
      </w:r>
      <w:r w:rsidR="00365942">
        <w:t xml:space="preserve"> exploration of the</w:t>
      </w:r>
      <w:r w:rsidR="00F079AE">
        <w:t xml:space="preserve"> role of each of the senses</w:t>
      </w:r>
      <w:r w:rsidR="00365942">
        <w:t xml:space="preserve"> in the taste-experience is not limited to classes involving cooking, but speaks into the context of several other subjects.</w:t>
      </w:r>
      <w:r w:rsidR="00F079AE">
        <w:t xml:space="preserve"> The role of sight </w:t>
      </w:r>
      <w:r w:rsidR="00365942">
        <w:t>can be explored</w:t>
      </w:r>
      <w:r w:rsidR="00D14374">
        <w:t xml:space="preserve"> by</w:t>
      </w:r>
      <w:r w:rsidR="00F079AE">
        <w:t xml:space="preserve"> letting the pupils choose an apple from a larger bowl of different types of apples.</w:t>
      </w:r>
      <w:r w:rsidR="002C7CCC">
        <w:t xml:space="preserve"> </w:t>
      </w:r>
      <w:r w:rsidR="00D14374">
        <w:t>Presumably, they will</w:t>
      </w:r>
      <w:r w:rsidR="002C7CCC">
        <w:t xml:space="preserve"> observe the bowl of apples from various perspectives or take up different apples before choosing o</w:t>
      </w:r>
      <w:r w:rsidR="005F304C">
        <w:t>ne. When each of the pupils has</w:t>
      </w:r>
      <w:r w:rsidR="002C7CCC">
        <w:t xml:space="preserve"> chosen an apple, the teacher can ask them to consider why they chose this particular one and discuss the considerations with their classmates.</w:t>
      </w:r>
      <w:r w:rsidR="002C7CCC" w:rsidRPr="002C7CCC">
        <w:t xml:space="preserve"> </w:t>
      </w:r>
      <w:r w:rsidR="002C7CCC">
        <w:t>In this way, the preconceptions of the pupils are activated in the sense that they</w:t>
      </w:r>
      <w:r w:rsidR="009631C4">
        <w:t xml:space="preserve"> are likely to</w:t>
      </w:r>
      <w:r w:rsidR="002C7CCC">
        <w:t xml:space="preserve"> realise that previous taste-experiences </w:t>
      </w:r>
      <w:r w:rsidR="009631C4">
        <w:t>have</w:t>
      </w:r>
      <w:r w:rsidR="002C7CCC">
        <w:t xml:space="preserve"> played a role in their choice – </w:t>
      </w:r>
      <w:proofErr w:type="gramStart"/>
      <w:r w:rsidR="002C7CCC">
        <w:t>that</w:t>
      </w:r>
      <w:proofErr w:type="gramEnd"/>
      <w:r w:rsidR="002C7CCC">
        <w:t xml:space="preserve"> they have sought to identify an apple with an exact colour, assuming that red apples are sweet, whereas green apples are acidic.</w:t>
      </w:r>
      <w:r w:rsidR="00661E8A">
        <w:rPr>
          <w:rStyle w:val="Fodnotehenvisning"/>
        </w:rPr>
        <w:footnoteReference w:id="57"/>
      </w:r>
      <w:r w:rsidR="00F079AE">
        <w:t xml:space="preserve"> </w:t>
      </w:r>
      <w:r w:rsidR="00841775">
        <w:t xml:space="preserve">The role of hearing and tactility </w:t>
      </w:r>
      <w:r w:rsidR="008F2486">
        <w:t>can come</w:t>
      </w:r>
      <w:r w:rsidR="00841775">
        <w:t xml:space="preserve"> </w:t>
      </w:r>
      <w:r w:rsidR="00841775">
        <w:t xml:space="preserve">about by </w:t>
      </w:r>
      <w:r w:rsidR="00492097">
        <w:t xml:space="preserve">asking the pupils if they can mention food-items and dishes that are supposed to be crispy and what happens when they are not. </w:t>
      </w:r>
      <w:r w:rsidR="000F0DC4">
        <w:t xml:space="preserve">Again, the </w:t>
      </w:r>
      <w:r w:rsidR="009631C4">
        <w:t xml:space="preserve">pupils are likely to realise that their </w:t>
      </w:r>
      <w:r w:rsidR="000F0DC4">
        <w:t xml:space="preserve">preconceptions determine the </w:t>
      </w:r>
      <w:r w:rsidR="000F0DC4">
        <w:t>expectations linked to taste-experience</w:t>
      </w:r>
      <w:r w:rsidR="009631C4">
        <w:t>s</w:t>
      </w:r>
      <w:r w:rsidR="000F0DC4">
        <w:t>. In both cases,</w:t>
      </w:r>
      <w:r w:rsidR="009631C4">
        <w:t xml:space="preserve"> the</w:t>
      </w:r>
      <w:r w:rsidR="008F2486">
        <w:t xml:space="preserve"> awareness of the role of sight</w:t>
      </w:r>
      <w:r w:rsidR="009631C4">
        <w:t>, hearing and touch</w:t>
      </w:r>
      <w:r w:rsidR="00A800EB">
        <w:t xml:space="preserve"> will contribute to a modification of </w:t>
      </w:r>
      <w:r w:rsidR="002C7CCC">
        <w:t>the quality of the experience</w:t>
      </w:r>
      <w:r w:rsidR="00A800EB">
        <w:t xml:space="preserve">s to follow. And, furthermore, </w:t>
      </w:r>
      <w:r w:rsidR="00E161B3">
        <w:t>the activities serve as instruments to meet learning-goals related to exploration and vocabulary in nature/technology and related to dialogue and linguistic awareness in Danish language</w:t>
      </w:r>
      <w:r w:rsidR="00841775">
        <w:t>.</w:t>
      </w:r>
      <w:r w:rsidR="00114619">
        <w:t xml:space="preserve"> </w:t>
      </w:r>
      <w:r w:rsidR="00C707B9">
        <w:t xml:space="preserve">In continuation of such activities, the pupils can work with the creation of a language for taste by </w:t>
      </w:r>
      <w:r w:rsidR="008F2486">
        <w:t>participating in</w:t>
      </w:r>
      <w:r w:rsidR="00C707B9">
        <w:t xml:space="preserve"> situations in which the</w:t>
      </w:r>
      <w:r w:rsidR="008F2486">
        <w:t>y are part of</w:t>
      </w:r>
      <w:r w:rsidR="00C707B9">
        <w:t xml:space="preserve"> open dialogues concerning what is called to mind by tasting either known or unknown food-items. In such activities, the pupils</w:t>
      </w:r>
      <w:r w:rsidR="008F2486">
        <w:t xml:space="preserve"> can</w:t>
      </w:r>
      <w:r w:rsidR="00C707B9">
        <w:t xml:space="preserve"> be asked to express associations derived from prior experience in the form of essays, photos or </w:t>
      </w:r>
      <w:r w:rsidR="00C707B9">
        <w:lastRenderedPageBreak/>
        <w:t>video-clips as the basis of dialogues</w:t>
      </w:r>
      <w:r w:rsidR="00A622A0">
        <w:t xml:space="preserve">. </w:t>
      </w:r>
      <w:r w:rsidR="002210B9" w:rsidRPr="00A622A0">
        <w:t>In these processes, the principle of continuity applies in the sense that associations may establish connections that passed as unnoticed previously</w:t>
      </w:r>
      <w:r w:rsidR="00A622A0">
        <w:t>. R</w:t>
      </w:r>
      <w:r w:rsidR="002210B9" w:rsidRPr="00A622A0">
        <w:t xml:space="preserve">ecollection may unfold as anticipation of future experience or it might trigger an emotional response through which the pupil is enabled to connect the present taste-experience with a place visited or an event having taken place at an earlier point in time. In this way, internal factors such as </w:t>
      </w:r>
      <w:r w:rsidR="0092173B">
        <w:t>remembrance</w:t>
      </w:r>
      <w:r w:rsidR="002210B9" w:rsidRPr="00A622A0">
        <w:t xml:space="preserve"> or expectation intermingle with external factors related to the tasting, thereby making up a model-example o</w:t>
      </w:r>
      <w:r w:rsidR="00045970">
        <w:t>f the principle of interaction</w:t>
      </w:r>
      <w:r w:rsidR="002210B9" w:rsidRPr="00A622A0">
        <w:t>.</w:t>
      </w:r>
      <w:r w:rsidR="00045970">
        <w:rPr>
          <w:rStyle w:val="Fodnotehenvisning"/>
        </w:rPr>
        <w:footnoteReference w:id="58"/>
      </w:r>
      <w:r w:rsidR="002210B9" w:rsidRPr="00A622A0">
        <w:t xml:space="preserve"> The communicative skills gained by sharing with other pupils the images that specific tastes bring forth or</w:t>
      </w:r>
      <w:r w:rsidR="00661E8A">
        <w:t xml:space="preserve"> presenting these in larger forums</w:t>
      </w:r>
      <w:r w:rsidR="002210B9" w:rsidRPr="00A622A0">
        <w:t xml:space="preserve"> might inspire personal growth in the sense that </w:t>
      </w:r>
      <w:r w:rsidR="002210B9" w:rsidRPr="00A622A0">
        <w:rPr>
          <w:color w:val="595959" w:themeColor="text1" w:themeTint="A6"/>
        </w:rPr>
        <w:t>presenting what is called to mind by tasting provides tools for the participation in open dialogues in which listening and expressing carry equal weight.</w:t>
      </w:r>
    </w:p>
    <w:p w:rsidR="00365942" w:rsidRDefault="00577A8B" w:rsidP="00BF3801">
      <w:pPr>
        <w:spacing w:line="480" w:lineRule="auto"/>
        <w:ind w:left="0"/>
        <w:jc w:val="both"/>
      </w:pPr>
      <w:r w:rsidRPr="00577A8B">
        <w:t xml:space="preserve">Aesthetic judgment </w:t>
      </w:r>
      <w:r w:rsidR="00281BB3" w:rsidRPr="00577A8B">
        <w:t>in terms of the assessment of sensory impressions</w:t>
      </w:r>
      <w:r w:rsidR="00281BB3">
        <w:t xml:space="preserve"> is not merely a</w:t>
      </w:r>
      <w:r w:rsidR="00BD7130">
        <w:t xml:space="preserve"> question of aesthetic appreciation, </w:t>
      </w:r>
      <w:r w:rsidR="005045B8">
        <w:t>positioning</w:t>
      </w:r>
      <w:r w:rsidR="00BD7130">
        <w:t xml:space="preserve"> aesthetic experience in the context of good manners and good taste as it </w:t>
      </w:r>
      <w:r w:rsidR="00045970">
        <w:t>is referred to in Dewey’s work</w:t>
      </w:r>
      <w:r w:rsidR="00281BB3">
        <w:t>.</w:t>
      </w:r>
      <w:r w:rsidR="00045970">
        <w:rPr>
          <w:rStyle w:val="Fodnotehenvisning"/>
        </w:rPr>
        <w:footnoteReference w:id="59"/>
      </w:r>
      <w:r w:rsidR="00BD7130">
        <w:t xml:space="preserve"> </w:t>
      </w:r>
      <w:r w:rsidR="008B0C58">
        <w:t xml:space="preserve">Rather, aesthetic judgment </w:t>
      </w:r>
      <w:r w:rsidR="008B0C58" w:rsidRPr="00577A8B">
        <w:t xml:space="preserve">is </w:t>
      </w:r>
      <w:r w:rsidR="008B0C58">
        <w:t xml:space="preserve">positioned in the sphere between objective and subjective judgment. As mentioned above, Kant regarded the aesthetic judgment as universal based on the presumption that objects can be perceived in a disinterested manner – that is, without ascribing any personal needs or particular interests to them. </w:t>
      </w:r>
      <w:r w:rsidR="008B0C58" w:rsidRPr="002B78A9">
        <w:t>In this sense, the aesthetic judgment is subjective</w:t>
      </w:r>
      <w:r w:rsidR="008B0C58">
        <w:t xml:space="preserve"> because it is </w:t>
      </w:r>
      <w:r w:rsidR="008B0C58" w:rsidRPr="002B78A9">
        <w:t xml:space="preserve">embedded in </w:t>
      </w:r>
      <w:r w:rsidR="008B0C58" w:rsidRPr="002B78A9">
        <w:t>subjective experience, but objective because it is based on the qualities of a specific object.</w:t>
      </w:r>
      <w:r w:rsidR="008B0C58">
        <w:rPr>
          <w:rStyle w:val="Fodnotehenvisning"/>
        </w:rPr>
        <w:footnoteReference w:id="60"/>
      </w:r>
      <w:r w:rsidR="008B0C58">
        <w:t xml:space="preserve"> Transferring this to the context of education, the</w:t>
      </w:r>
      <w:r w:rsidR="004B53E1">
        <w:t xml:space="preserve"> teacher can introduce a tasting of broad beans or similar types of large beans. First, the pupils can be asked to express their subjective judgment, in which case</w:t>
      </w:r>
      <w:r w:rsidR="005F304C">
        <w:t xml:space="preserve"> it is likely that</w:t>
      </w:r>
      <w:r w:rsidR="004B53E1">
        <w:t xml:space="preserve"> they will come up with different expressions. Some might connect the taste to specific dishes or events, while others might limit their answers to expressions of like or dislike. </w:t>
      </w:r>
      <w:r w:rsidR="00441DD8">
        <w:t xml:space="preserve">Afterwards, the teacher can introduce the </w:t>
      </w:r>
      <w:r w:rsidR="005D6DCF">
        <w:t>technical terms</w:t>
      </w:r>
      <w:r w:rsidR="00441DD8">
        <w:t xml:space="preserve"> for the physical/chemical properties of food to the pupils</w:t>
      </w:r>
      <w:r w:rsidR="005D6DCF">
        <w:t>.</w:t>
      </w:r>
      <w:r w:rsidR="005D6DCF">
        <w:rPr>
          <w:rStyle w:val="Fodnotehenvisning"/>
        </w:rPr>
        <w:footnoteReference w:id="61"/>
      </w:r>
      <w:r w:rsidR="005D6DCF">
        <w:t xml:space="preserve"> When turning</w:t>
      </w:r>
      <w:r w:rsidR="005F304C">
        <w:t xml:space="preserve"> the attention</w:t>
      </w:r>
      <w:r w:rsidR="005D6DCF">
        <w:t xml:space="preserve"> towards these technical terms, the pupils will experience that regardless of their subjective experience, there is a precise vocabulary referring to properties inheren</w:t>
      </w:r>
      <w:r w:rsidR="00F2079E">
        <w:t>t in food-items</w:t>
      </w:r>
      <w:r w:rsidR="00901FF6">
        <w:t xml:space="preserve">: </w:t>
      </w:r>
      <w:r w:rsidR="00CD0BF0">
        <w:t xml:space="preserve">in this case that </w:t>
      </w:r>
      <w:r w:rsidR="00901FF6">
        <w:t>the beans are</w:t>
      </w:r>
      <w:r w:rsidR="005F304C">
        <w:t xml:space="preserve"> mealy</w:t>
      </w:r>
      <w:r w:rsidR="00F2079E">
        <w:t xml:space="preserve">. </w:t>
      </w:r>
      <w:r w:rsidR="00933075">
        <w:t xml:space="preserve">In addition, the communicative skills gained in this context provide tools for understanding the distinction between everyday language and a precise terminology. Thereby </w:t>
      </w:r>
      <w:r w:rsidR="00933075">
        <w:t xml:space="preserve">learning-goals in Danish language concerning </w:t>
      </w:r>
      <w:r w:rsidR="00933075">
        <w:lastRenderedPageBreak/>
        <w:t>communication and interpretation are met as well as learning-goals in nature/technology regarding technical vocabulary and in home-economics regarding knowledge of ingredients.</w:t>
      </w:r>
      <w:r w:rsidR="00725469">
        <w:t xml:space="preserve"> F</w:t>
      </w:r>
      <w:r w:rsidR="005F304C">
        <w:t>urthermore, the exercise</w:t>
      </w:r>
      <w:r w:rsidR="00725469">
        <w:t xml:space="preserve"> enables the pupils to surpass the spontaneous judgment of likes or dislikes and to qualify their judgment regarding taste.</w:t>
      </w:r>
    </w:p>
    <w:p w:rsidR="00354C28" w:rsidRPr="00354C28" w:rsidRDefault="00354C28" w:rsidP="00354C28">
      <w:pPr>
        <w:pStyle w:val="Overskrift5"/>
        <w:ind w:left="0"/>
        <w:rPr>
          <w:i/>
        </w:rPr>
      </w:pPr>
      <w:r>
        <w:rPr>
          <w:i/>
        </w:rPr>
        <w:t>Educated tastes</w:t>
      </w:r>
    </w:p>
    <w:p w:rsidR="00ED5DA4" w:rsidRDefault="000A0E64" w:rsidP="000A0E64">
      <w:pPr>
        <w:spacing w:line="480" w:lineRule="auto"/>
        <w:ind w:left="0"/>
        <w:jc w:val="both"/>
      </w:pPr>
      <w:r w:rsidRPr="000A0E64">
        <w:t xml:space="preserve">Though limited in scope, these examples suggest that taste can be employed not only as a means to learn </w:t>
      </w:r>
      <w:r w:rsidRPr="000A0E64">
        <w:rPr>
          <w:i/>
        </w:rPr>
        <w:t>about</w:t>
      </w:r>
      <w:r w:rsidRPr="000A0E64">
        <w:t xml:space="preserve"> taste, but also as a point of departure for learning </w:t>
      </w:r>
      <w:r w:rsidRPr="000A0E64">
        <w:rPr>
          <w:i/>
        </w:rPr>
        <w:t>through</w:t>
      </w:r>
      <w:r w:rsidRPr="000A0E64">
        <w:t xml:space="preserve"> taste. The multi-facetted experience unfolding in the course of the sensory encounter provides a framework within which activities encouraging cumulative growth can be selected. The pupils can learn </w:t>
      </w:r>
      <w:r w:rsidRPr="00452961">
        <w:rPr>
          <w:i/>
        </w:rPr>
        <w:t>about</w:t>
      </w:r>
      <w:r w:rsidRPr="000A0E64">
        <w:t xml:space="preserve"> taste when exploring the particular attention required in separating the contribution of each of the senses in the process of tasting</w:t>
      </w:r>
      <w:r>
        <w:t xml:space="preserve">, they can </w:t>
      </w:r>
      <w:r w:rsidR="005272E8">
        <w:t>learn about basic tastes and</w:t>
      </w:r>
      <w:r w:rsidR="00A97044">
        <w:t xml:space="preserve"> they can learn about </w:t>
      </w:r>
      <w:r w:rsidR="005272E8">
        <w:t xml:space="preserve">properties in food-items influencing the taste-experience. </w:t>
      </w:r>
      <w:r w:rsidRPr="000A0E64">
        <w:t xml:space="preserve">Furthermore, the pupils can learn about other subjects </w:t>
      </w:r>
      <w:r w:rsidRPr="00452961">
        <w:rPr>
          <w:i/>
        </w:rPr>
        <w:t>through</w:t>
      </w:r>
      <w:r w:rsidRPr="000A0E64">
        <w:t xml:space="preserve"> taste when sensory experience is employed with the purpose of setting the stage for acquiring k</w:t>
      </w:r>
      <w:r w:rsidR="003432D3">
        <w:t xml:space="preserve">nowledge and skills in a variety of subjects ranging from home-economics to nature/technology, Danish language or any </w:t>
      </w:r>
      <w:r w:rsidR="00045970">
        <w:t>other subject</w:t>
      </w:r>
      <w:r w:rsidR="003432D3">
        <w:t>.</w:t>
      </w:r>
      <w:r w:rsidR="00045970">
        <w:rPr>
          <w:rStyle w:val="Fodnotehenvisning"/>
        </w:rPr>
        <w:footnoteReference w:id="62"/>
      </w:r>
    </w:p>
    <w:p w:rsidR="002F12D6" w:rsidRPr="00D67D8B" w:rsidRDefault="00ED5DA4" w:rsidP="00D67D8B">
      <w:pPr>
        <w:spacing w:line="480" w:lineRule="auto"/>
        <w:ind w:left="0"/>
        <w:jc w:val="both"/>
        <w:rPr>
          <w:color w:val="FF0000"/>
          <w:lang w:val="en-US"/>
        </w:rPr>
      </w:pPr>
      <w:r>
        <w:t>The specific contribution of a phenomenological approach within the framework of Dewey’s educational theory lies in the combination of a more nuanced understanding of experience as an amalgamation of a synthesis of sensory impressions and the influence of</w:t>
      </w:r>
      <w:r w:rsidR="004F3D7A">
        <w:t xml:space="preserve"> the horizon</w:t>
      </w:r>
      <w:r w:rsidRPr="00C80EC5">
        <w:t xml:space="preserve"> that accompanies our perception permanently</w:t>
      </w:r>
      <w:r>
        <w:t xml:space="preserve"> with a practice-based approach to learning</w:t>
      </w:r>
      <w:r w:rsidR="00415F7A">
        <w:t>.</w:t>
      </w:r>
      <w:r w:rsidR="004F3D7A">
        <w:t xml:space="preserve"> </w:t>
      </w:r>
      <w:r w:rsidR="00E01F02">
        <w:t xml:space="preserve">When taste makes up the focal point, the sensory experience transforms food-items into tools for analysis, craftsmanship and communication. The pupils can analyse various properties and their impact on the taste-experience, they can translate this experience into cooking-skills and they can use their knowledge in communicative processes. </w:t>
      </w:r>
      <w:r w:rsidR="006E34DE">
        <w:t>There is, hence, indications of a double benefit by</w:t>
      </w:r>
      <w:r w:rsidR="00D67D8B">
        <w:t xml:space="preserve"> employing taste in educational activities. On one hand, the focus on taste seems to point towards </w:t>
      </w:r>
      <w:r w:rsidR="00A51625">
        <w:t xml:space="preserve">wide </w:t>
      </w:r>
      <w:r w:rsidR="00D67D8B">
        <w:t>possibilities for experimentation and cre</w:t>
      </w:r>
      <w:r w:rsidR="00A51625">
        <w:t>ativity within the framework of education regulated by learning-goals.</w:t>
      </w:r>
      <w:r w:rsidR="00D67D8B">
        <w:t xml:space="preserve"> And, on the other hand, the de-contextualisation of food from questions of nourishment and health seems to provide opportunities for transforming food from a battleground into a valuable tool for learning,</w:t>
      </w:r>
    </w:p>
    <w:p w:rsidR="000B1163" w:rsidRPr="00D67D8B" w:rsidRDefault="000B1163" w:rsidP="00080576">
      <w:pPr>
        <w:spacing w:before="120" w:after="200" w:line="240" w:lineRule="auto"/>
        <w:ind w:left="0"/>
        <w:jc w:val="both"/>
        <w:rPr>
          <w:lang w:val="en-US"/>
        </w:rPr>
      </w:pPr>
    </w:p>
    <w:sectPr w:rsidR="000B1163" w:rsidRPr="00D67D8B" w:rsidSect="009D2113">
      <w:headerReference w:type="default" r:id="rId10"/>
      <w:foot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535" w:rsidRDefault="00A16535" w:rsidP="00080576">
      <w:pPr>
        <w:spacing w:after="0" w:line="240" w:lineRule="auto"/>
      </w:pPr>
      <w:r>
        <w:separator/>
      </w:r>
    </w:p>
  </w:endnote>
  <w:endnote w:type="continuationSeparator" w:id="0">
    <w:p w:rsidR="00A16535" w:rsidRDefault="00A16535" w:rsidP="00080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Georgia,Italic">
    <w:panose1 w:val="00000000000000000000"/>
    <w:charset w:val="00"/>
    <w:family w:val="swiss"/>
    <w:notTrueType/>
    <w:pitch w:val="default"/>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0714"/>
      <w:docPartObj>
        <w:docPartGallery w:val="Page Numbers (Bottom of Page)"/>
        <w:docPartUnique/>
      </w:docPartObj>
    </w:sdtPr>
    <w:sdtEndPr/>
    <w:sdtContent>
      <w:p w:rsidR="00C71F8E" w:rsidRDefault="00B9565A">
        <w:pPr>
          <w:pStyle w:val="Sidefod"/>
          <w:jc w:val="right"/>
        </w:pPr>
        <w:r>
          <w:fldChar w:fldCharType="begin"/>
        </w:r>
        <w:r>
          <w:instrText xml:space="preserve"> PAGE   \* MERGEFORMAT </w:instrText>
        </w:r>
        <w:r>
          <w:fldChar w:fldCharType="separate"/>
        </w:r>
        <w:r w:rsidR="00A97044">
          <w:rPr>
            <w:noProof/>
          </w:rPr>
          <w:t>15</w:t>
        </w:r>
        <w:r>
          <w:rPr>
            <w:noProof/>
          </w:rPr>
          <w:fldChar w:fldCharType="end"/>
        </w:r>
      </w:p>
    </w:sdtContent>
  </w:sdt>
  <w:p w:rsidR="00C71F8E" w:rsidRDefault="00C71F8E">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535" w:rsidRDefault="00A16535" w:rsidP="00080576">
      <w:pPr>
        <w:spacing w:after="0" w:line="240" w:lineRule="auto"/>
      </w:pPr>
      <w:r>
        <w:separator/>
      </w:r>
    </w:p>
  </w:footnote>
  <w:footnote w:type="continuationSeparator" w:id="0">
    <w:p w:rsidR="00A16535" w:rsidRDefault="00A16535" w:rsidP="00080576">
      <w:pPr>
        <w:spacing w:after="0" w:line="240" w:lineRule="auto"/>
      </w:pPr>
      <w:r>
        <w:continuationSeparator/>
      </w:r>
    </w:p>
  </w:footnote>
  <w:footnote w:id="1">
    <w:p w:rsidR="009E2590" w:rsidRPr="009E2590" w:rsidRDefault="009E2590" w:rsidP="009E2590">
      <w:pPr>
        <w:pStyle w:val="Fodnotetekst"/>
        <w:ind w:left="0"/>
        <w:rPr>
          <w:sz w:val="18"/>
          <w:szCs w:val="18"/>
          <w:lang w:val="en-US"/>
        </w:rPr>
      </w:pPr>
      <w:r w:rsidRPr="009E2590">
        <w:rPr>
          <w:rStyle w:val="Fodnotehenvisning"/>
          <w:sz w:val="18"/>
          <w:szCs w:val="18"/>
        </w:rPr>
        <w:footnoteRef/>
      </w:r>
      <w:r w:rsidRPr="009E2590">
        <w:rPr>
          <w:sz w:val="18"/>
          <w:szCs w:val="18"/>
        </w:rPr>
        <w:t xml:space="preserve"> John </w:t>
      </w:r>
      <w:r w:rsidRPr="009E2590">
        <w:rPr>
          <w:sz w:val="18"/>
          <w:szCs w:val="18"/>
          <w:lang w:val="en-US"/>
        </w:rPr>
        <w:t>Dewey</w:t>
      </w:r>
      <w:r w:rsidRPr="009E2590">
        <w:rPr>
          <w:sz w:val="18"/>
          <w:szCs w:val="18"/>
        </w:rPr>
        <w:t xml:space="preserve">. </w:t>
      </w:r>
      <w:proofErr w:type="gramStart"/>
      <w:r w:rsidRPr="009E2590">
        <w:rPr>
          <w:i/>
          <w:sz w:val="18"/>
          <w:szCs w:val="18"/>
        </w:rPr>
        <w:t>Experience and Education.</w:t>
      </w:r>
      <w:proofErr w:type="gramEnd"/>
      <w:r w:rsidRPr="009E2590">
        <w:rPr>
          <w:i/>
          <w:sz w:val="18"/>
          <w:szCs w:val="18"/>
        </w:rPr>
        <w:t xml:space="preserve"> </w:t>
      </w:r>
      <w:r w:rsidRPr="009E2590">
        <w:rPr>
          <w:sz w:val="18"/>
          <w:szCs w:val="18"/>
        </w:rPr>
        <w:t>(Indianapolis: Kap</w:t>
      </w:r>
      <w:r w:rsidR="00E13624">
        <w:rPr>
          <w:sz w:val="18"/>
          <w:szCs w:val="18"/>
        </w:rPr>
        <w:t>pa Delta Pi Publications, 1938),</w:t>
      </w:r>
      <w:r w:rsidRPr="009E2590">
        <w:rPr>
          <w:sz w:val="18"/>
          <w:szCs w:val="18"/>
        </w:rPr>
        <w:t xml:space="preserve"> 5</w:t>
      </w:r>
    </w:p>
  </w:footnote>
  <w:footnote w:id="2">
    <w:p w:rsidR="008A3F1F" w:rsidRPr="00E33EC4" w:rsidRDefault="008A3F1F" w:rsidP="00220F67">
      <w:pPr>
        <w:pStyle w:val="Fodnotetekst"/>
        <w:ind w:left="0"/>
        <w:rPr>
          <w:sz w:val="18"/>
          <w:szCs w:val="18"/>
          <w:lang w:val="en-US"/>
        </w:rPr>
      </w:pPr>
      <w:r w:rsidRPr="00220F67">
        <w:rPr>
          <w:rStyle w:val="Fodnotehenvisning"/>
          <w:sz w:val="18"/>
          <w:szCs w:val="18"/>
        </w:rPr>
        <w:footnoteRef/>
      </w:r>
      <w:r w:rsidRPr="00220F67">
        <w:rPr>
          <w:sz w:val="18"/>
          <w:szCs w:val="18"/>
        </w:rPr>
        <w:t xml:space="preserve"> </w:t>
      </w:r>
      <w:r w:rsidR="00DB303D">
        <w:rPr>
          <w:sz w:val="18"/>
          <w:szCs w:val="18"/>
        </w:rPr>
        <w:t xml:space="preserve">Dewey, </w:t>
      </w:r>
      <w:r w:rsidR="00DB303D">
        <w:rPr>
          <w:i/>
          <w:sz w:val="18"/>
          <w:szCs w:val="18"/>
        </w:rPr>
        <w:t>Experience and Education</w:t>
      </w:r>
      <w:r w:rsidRPr="00E33EC4">
        <w:rPr>
          <w:sz w:val="18"/>
          <w:szCs w:val="18"/>
          <w:lang w:val="en-US"/>
        </w:rPr>
        <w:t>, 9</w:t>
      </w:r>
    </w:p>
  </w:footnote>
  <w:footnote w:id="3">
    <w:p w:rsidR="008A3F1F" w:rsidRPr="00220F67" w:rsidRDefault="008A3F1F" w:rsidP="00220F67">
      <w:pPr>
        <w:pStyle w:val="Fodnotetekst"/>
        <w:ind w:left="0"/>
        <w:rPr>
          <w:sz w:val="18"/>
          <w:szCs w:val="18"/>
          <w:lang w:val="en-US"/>
        </w:rPr>
      </w:pPr>
      <w:r w:rsidRPr="00220F67">
        <w:rPr>
          <w:rStyle w:val="Fodnotehenvisning"/>
          <w:sz w:val="18"/>
          <w:szCs w:val="18"/>
        </w:rPr>
        <w:footnoteRef/>
      </w:r>
      <w:r w:rsidRPr="00220F67">
        <w:rPr>
          <w:sz w:val="18"/>
          <w:szCs w:val="18"/>
        </w:rPr>
        <w:t xml:space="preserve"> </w:t>
      </w:r>
      <w:r w:rsidRPr="00220F67">
        <w:rPr>
          <w:sz w:val="18"/>
          <w:szCs w:val="18"/>
          <w:lang w:val="en-US"/>
        </w:rPr>
        <w:t xml:space="preserve">John Dewey. </w:t>
      </w:r>
      <w:proofErr w:type="gramStart"/>
      <w:r w:rsidRPr="00220F67">
        <w:rPr>
          <w:i/>
          <w:sz w:val="18"/>
          <w:szCs w:val="18"/>
        </w:rPr>
        <w:t>Democracy and Education.</w:t>
      </w:r>
      <w:proofErr w:type="gramEnd"/>
      <w:r w:rsidRPr="00220F67">
        <w:rPr>
          <w:i/>
          <w:sz w:val="18"/>
          <w:szCs w:val="18"/>
        </w:rPr>
        <w:t xml:space="preserve"> </w:t>
      </w:r>
      <w:r w:rsidRPr="00220F67">
        <w:rPr>
          <w:sz w:val="18"/>
          <w:szCs w:val="18"/>
        </w:rPr>
        <w:t>(New York: The Macmillan Company,[1916] 1922), 180-181</w:t>
      </w:r>
    </w:p>
  </w:footnote>
  <w:footnote w:id="4">
    <w:p w:rsidR="008A3F1F" w:rsidRPr="00007A60" w:rsidRDefault="008A3F1F" w:rsidP="00220F67">
      <w:pPr>
        <w:pStyle w:val="Fodnotetekst"/>
        <w:ind w:left="0"/>
        <w:rPr>
          <w:lang w:val="en-US"/>
        </w:rPr>
      </w:pPr>
      <w:r w:rsidRPr="00220F67">
        <w:rPr>
          <w:rStyle w:val="Fodnotehenvisning"/>
          <w:sz w:val="18"/>
          <w:szCs w:val="18"/>
        </w:rPr>
        <w:footnoteRef/>
      </w:r>
      <w:r w:rsidRPr="00220F67">
        <w:rPr>
          <w:sz w:val="18"/>
          <w:szCs w:val="18"/>
        </w:rPr>
        <w:t xml:space="preserve"> </w:t>
      </w:r>
      <w:r w:rsidR="00DB303D">
        <w:rPr>
          <w:sz w:val="18"/>
          <w:szCs w:val="18"/>
        </w:rPr>
        <w:t xml:space="preserve">Dewey, </w:t>
      </w:r>
      <w:r w:rsidR="00DB303D">
        <w:rPr>
          <w:i/>
          <w:sz w:val="18"/>
          <w:szCs w:val="18"/>
        </w:rPr>
        <w:t>Democracy and Education</w:t>
      </w:r>
      <w:r w:rsidRPr="00007A60">
        <w:rPr>
          <w:sz w:val="18"/>
          <w:szCs w:val="18"/>
          <w:lang w:val="en-US"/>
        </w:rPr>
        <w:t>, 166-167</w:t>
      </w:r>
    </w:p>
  </w:footnote>
  <w:footnote w:id="5">
    <w:p w:rsidR="00220F67" w:rsidRPr="00007A60" w:rsidRDefault="00220F67" w:rsidP="00220F67">
      <w:pPr>
        <w:pStyle w:val="Fodnotetekst"/>
        <w:ind w:left="0"/>
        <w:rPr>
          <w:sz w:val="18"/>
          <w:szCs w:val="18"/>
          <w:lang w:val="en-US"/>
        </w:rPr>
      </w:pPr>
      <w:r w:rsidRPr="00220F67">
        <w:rPr>
          <w:rStyle w:val="Fodnotehenvisning"/>
          <w:sz w:val="18"/>
          <w:szCs w:val="18"/>
        </w:rPr>
        <w:footnoteRef/>
      </w:r>
      <w:r w:rsidRPr="00220F67">
        <w:rPr>
          <w:sz w:val="18"/>
          <w:szCs w:val="18"/>
        </w:rPr>
        <w:t xml:space="preserve"> </w:t>
      </w:r>
      <w:r w:rsidR="00DB303D">
        <w:rPr>
          <w:sz w:val="18"/>
          <w:szCs w:val="18"/>
        </w:rPr>
        <w:t xml:space="preserve">Dewey, </w:t>
      </w:r>
      <w:r w:rsidR="00DB303D">
        <w:rPr>
          <w:i/>
          <w:sz w:val="18"/>
          <w:szCs w:val="18"/>
        </w:rPr>
        <w:t>Democracy and Education</w:t>
      </w:r>
      <w:r w:rsidRPr="00007A60">
        <w:rPr>
          <w:sz w:val="18"/>
          <w:szCs w:val="18"/>
          <w:lang w:val="en-US"/>
        </w:rPr>
        <w:t>, 180</w:t>
      </w:r>
    </w:p>
  </w:footnote>
  <w:footnote w:id="6">
    <w:p w:rsidR="00220F67" w:rsidRPr="00767030" w:rsidRDefault="00220F67" w:rsidP="00767030">
      <w:pPr>
        <w:pStyle w:val="Fodnotetekst"/>
        <w:ind w:left="0"/>
        <w:rPr>
          <w:sz w:val="18"/>
          <w:szCs w:val="18"/>
          <w:lang w:val="en-US"/>
        </w:rPr>
      </w:pPr>
      <w:r w:rsidRPr="00767030">
        <w:rPr>
          <w:rStyle w:val="Fodnotehenvisning"/>
          <w:sz w:val="18"/>
          <w:szCs w:val="18"/>
        </w:rPr>
        <w:footnoteRef/>
      </w:r>
      <w:r w:rsidRPr="00767030">
        <w:rPr>
          <w:sz w:val="18"/>
          <w:szCs w:val="18"/>
        </w:rPr>
        <w:t xml:space="preserve"> </w:t>
      </w:r>
      <w:r w:rsidR="00007A60" w:rsidRPr="00767030">
        <w:rPr>
          <w:sz w:val="18"/>
          <w:szCs w:val="18"/>
        </w:rPr>
        <w:t xml:space="preserve">Dewey, </w:t>
      </w:r>
      <w:r w:rsidR="00007A60" w:rsidRPr="00767030">
        <w:rPr>
          <w:i/>
          <w:sz w:val="18"/>
          <w:szCs w:val="18"/>
        </w:rPr>
        <w:t>Democracy and Education</w:t>
      </w:r>
      <w:r w:rsidRPr="00767030">
        <w:rPr>
          <w:sz w:val="18"/>
          <w:szCs w:val="18"/>
          <w:lang w:val="en-US"/>
        </w:rPr>
        <w:t xml:space="preserve">, 166-167; Dewey, </w:t>
      </w:r>
      <w:r w:rsidRPr="00767030">
        <w:rPr>
          <w:i/>
          <w:sz w:val="18"/>
          <w:szCs w:val="18"/>
          <w:lang w:val="en-US"/>
        </w:rPr>
        <w:t xml:space="preserve">Experience and Education, </w:t>
      </w:r>
      <w:r w:rsidRPr="00767030">
        <w:rPr>
          <w:sz w:val="18"/>
          <w:szCs w:val="18"/>
          <w:lang w:val="en-US"/>
        </w:rPr>
        <w:t>27</w:t>
      </w:r>
    </w:p>
  </w:footnote>
  <w:footnote w:id="7">
    <w:p w:rsidR="00220F67" w:rsidRPr="00E33EC4" w:rsidRDefault="00220F67" w:rsidP="00767030">
      <w:pPr>
        <w:pStyle w:val="Fodnotetekst"/>
        <w:ind w:left="0"/>
        <w:rPr>
          <w:sz w:val="18"/>
          <w:szCs w:val="18"/>
          <w:lang w:val="en-US"/>
        </w:rPr>
      </w:pPr>
      <w:r w:rsidRPr="00767030">
        <w:rPr>
          <w:rStyle w:val="Fodnotehenvisning"/>
          <w:sz w:val="18"/>
          <w:szCs w:val="18"/>
        </w:rPr>
        <w:footnoteRef/>
      </w:r>
      <w:r w:rsidRPr="00767030">
        <w:rPr>
          <w:sz w:val="18"/>
          <w:szCs w:val="18"/>
        </w:rPr>
        <w:t xml:space="preserve"> </w:t>
      </w:r>
      <w:r w:rsidRPr="00E33EC4">
        <w:rPr>
          <w:sz w:val="18"/>
          <w:szCs w:val="18"/>
          <w:lang w:val="en-US"/>
        </w:rPr>
        <w:t xml:space="preserve">Dewey, </w:t>
      </w:r>
      <w:r w:rsidRPr="00E33EC4">
        <w:rPr>
          <w:i/>
          <w:sz w:val="18"/>
          <w:szCs w:val="18"/>
          <w:lang w:val="en-US"/>
        </w:rPr>
        <w:t xml:space="preserve">Democracy and Education, </w:t>
      </w:r>
      <w:r w:rsidRPr="00E33EC4">
        <w:rPr>
          <w:sz w:val="18"/>
          <w:szCs w:val="18"/>
          <w:lang w:val="en-US"/>
        </w:rPr>
        <w:t>163</w:t>
      </w:r>
    </w:p>
  </w:footnote>
  <w:footnote w:id="8">
    <w:p w:rsidR="001D3FC0" w:rsidRPr="00E33EC4" w:rsidRDefault="001D3FC0" w:rsidP="00767030">
      <w:pPr>
        <w:pStyle w:val="Fodnotetekst"/>
        <w:ind w:left="0"/>
        <w:rPr>
          <w:sz w:val="18"/>
          <w:szCs w:val="18"/>
          <w:lang w:val="en-US"/>
        </w:rPr>
      </w:pPr>
      <w:r w:rsidRPr="00767030">
        <w:rPr>
          <w:rStyle w:val="Fodnotehenvisning"/>
          <w:sz w:val="18"/>
          <w:szCs w:val="18"/>
        </w:rPr>
        <w:footnoteRef/>
      </w:r>
      <w:r w:rsidRPr="00767030">
        <w:rPr>
          <w:sz w:val="18"/>
          <w:szCs w:val="18"/>
        </w:rPr>
        <w:t xml:space="preserve"> </w:t>
      </w:r>
      <w:r w:rsidR="00007A60" w:rsidRPr="00767030">
        <w:rPr>
          <w:sz w:val="18"/>
          <w:szCs w:val="18"/>
        </w:rPr>
        <w:t xml:space="preserve">Dewey, </w:t>
      </w:r>
      <w:r w:rsidR="00007A60" w:rsidRPr="00767030">
        <w:rPr>
          <w:i/>
          <w:sz w:val="18"/>
          <w:szCs w:val="18"/>
        </w:rPr>
        <w:t>Democracy and Education</w:t>
      </w:r>
      <w:r w:rsidRPr="00E33EC4">
        <w:rPr>
          <w:sz w:val="18"/>
          <w:szCs w:val="18"/>
          <w:lang w:val="en-US"/>
        </w:rPr>
        <w:t xml:space="preserve">, </w:t>
      </w:r>
      <w:r w:rsidR="00DB303D" w:rsidRPr="00E33EC4">
        <w:rPr>
          <w:sz w:val="18"/>
          <w:szCs w:val="18"/>
          <w:lang w:val="en-US"/>
        </w:rPr>
        <w:t>245</w:t>
      </w:r>
    </w:p>
  </w:footnote>
  <w:footnote w:id="9">
    <w:p w:rsidR="00007A60" w:rsidRPr="00767030" w:rsidRDefault="00007A60" w:rsidP="00767030">
      <w:pPr>
        <w:pStyle w:val="Fodnotetekst"/>
        <w:ind w:left="0"/>
        <w:rPr>
          <w:sz w:val="18"/>
          <w:szCs w:val="18"/>
          <w:lang w:val="da-DK"/>
        </w:rPr>
      </w:pPr>
      <w:r w:rsidRPr="00767030">
        <w:rPr>
          <w:rStyle w:val="Fodnotehenvisning"/>
          <w:sz w:val="18"/>
          <w:szCs w:val="18"/>
        </w:rPr>
        <w:footnoteRef/>
      </w:r>
      <w:r w:rsidRPr="00E33EC4">
        <w:rPr>
          <w:sz w:val="18"/>
          <w:szCs w:val="18"/>
          <w:lang w:val="da-DK"/>
        </w:rPr>
        <w:t xml:space="preserve"> Dewey, </w:t>
      </w:r>
      <w:proofErr w:type="spellStart"/>
      <w:r w:rsidRPr="00E33EC4">
        <w:rPr>
          <w:i/>
          <w:sz w:val="18"/>
          <w:szCs w:val="18"/>
          <w:lang w:val="da-DK"/>
        </w:rPr>
        <w:t>Democracy</w:t>
      </w:r>
      <w:proofErr w:type="spellEnd"/>
      <w:r w:rsidRPr="00E33EC4">
        <w:rPr>
          <w:i/>
          <w:sz w:val="18"/>
          <w:szCs w:val="18"/>
          <w:lang w:val="da-DK"/>
        </w:rPr>
        <w:t xml:space="preserve"> and Education, </w:t>
      </w:r>
      <w:r w:rsidRPr="00E33EC4">
        <w:rPr>
          <w:sz w:val="18"/>
          <w:szCs w:val="18"/>
          <w:lang w:val="da-DK"/>
        </w:rPr>
        <w:t>35</w:t>
      </w:r>
    </w:p>
  </w:footnote>
  <w:footnote w:id="10">
    <w:p w:rsidR="001F46CC" w:rsidRPr="00767030" w:rsidRDefault="001F46CC" w:rsidP="00767030">
      <w:pPr>
        <w:spacing w:line="240" w:lineRule="auto"/>
        <w:ind w:left="0"/>
        <w:jc w:val="both"/>
        <w:rPr>
          <w:sz w:val="18"/>
          <w:szCs w:val="18"/>
          <w:lang w:val="da-DK"/>
        </w:rPr>
      </w:pPr>
      <w:r w:rsidRPr="00767030">
        <w:rPr>
          <w:rStyle w:val="Fodnotehenvisning"/>
          <w:sz w:val="18"/>
          <w:szCs w:val="18"/>
        </w:rPr>
        <w:footnoteRef/>
      </w:r>
      <w:r w:rsidRPr="00767030">
        <w:rPr>
          <w:sz w:val="18"/>
          <w:szCs w:val="18"/>
          <w:lang w:val="da-DK"/>
        </w:rPr>
        <w:t xml:space="preserve"> Peter Brodersen</w:t>
      </w:r>
      <w:r w:rsidR="00767030" w:rsidRPr="00767030">
        <w:rPr>
          <w:sz w:val="18"/>
          <w:szCs w:val="18"/>
          <w:lang w:val="da-DK"/>
        </w:rPr>
        <w:t xml:space="preserve">, </w:t>
      </w:r>
      <w:r w:rsidRPr="00767030">
        <w:rPr>
          <w:sz w:val="18"/>
          <w:szCs w:val="18"/>
          <w:lang w:val="da-DK"/>
        </w:rPr>
        <w:t>“Oplevelse, fordybelse og virkelyst – et æstetisk perspektiv på undervisning”. I</w:t>
      </w:r>
      <w:r w:rsidR="006B3665">
        <w:rPr>
          <w:sz w:val="18"/>
          <w:szCs w:val="18"/>
          <w:lang w:val="da-DK"/>
        </w:rPr>
        <w:t>n</w:t>
      </w:r>
      <w:r w:rsidRPr="00767030">
        <w:rPr>
          <w:sz w:val="18"/>
          <w:szCs w:val="18"/>
          <w:lang w:val="da-DK"/>
        </w:rPr>
        <w:t xml:space="preserve"> </w:t>
      </w:r>
      <w:r w:rsidRPr="00767030">
        <w:rPr>
          <w:i/>
          <w:sz w:val="18"/>
          <w:szCs w:val="18"/>
          <w:lang w:val="da-DK"/>
        </w:rPr>
        <w:t xml:space="preserve">Oplevelse, fordybelse og virkelyst, </w:t>
      </w:r>
      <w:r w:rsidR="00767030" w:rsidRPr="00767030">
        <w:rPr>
          <w:sz w:val="18"/>
          <w:szCs w:val="18"/>
          <w:lang w:val="da-DK"/>
        </w:rPr>
        <w:t>ed</w:t>
      </w:r>
      <w:r w:rsidR="006B3665">
        <w:rPr>
          <w:sz w:val="18"/>
          <w:szCs w:val="18"/>
          <w:lang w:val="da-DK"/>
        </w:rPr>
        <w:t>s</w:t>
      </w:r>
      <w:r w:rsidR="00767030" w:rsidRPr="00767030">
        <w:rPr>
          <w:sz w:val="18"/>
          <w:szCs w:val="18"/>
          <w:lang w:val="da-DK"/>
        </w:rPr>
        <w:t>.</w:t>
      </w:r>
      <w:r w:rsidRPr="00767030">
        <w:rPr>
          <w:sz w:val="18"/>
          <w:szCs w:val="18"/>
          <w:lang w:val="da-DK"/>
        </w:rPr>
        <w:t xml:space="preserve"> </w:t>
      </w:r>
      <w:r w:rsidR="00767030" w:rsidRPr="00767030">
        <w:rPr>
          <w:sz w:val="18"/>
          <w:szCs w:val="18"/>
          <w:lang w:val="da-DK"/>
        </w:rPr>
        <w:t xml:space="preserve">Peter </w:t>
      </w:r>
      <w:r w:rsidRPr="00767030">
        <w:rPr>
          <w:sz w:val="18"/>
          <w:szCs w:val="18"/>
          <w:lang w:val="da-DK"/>
        </w:rPr>
        <w:t xml:space="preserve">Brodersen, </w:t>
      </w:r>
      <w:r w:rsidR="00767030" w:rsidRPr="00767030">
        <w:rPr>
          <w:sz w:val="18"/>
          <w:szCs w:val="18"/>
          <w:lang w:val="da-DK"/>
        </w:rPr>
        <w:t xml:space="preserve">Thomas Illum </w:t>
      </w:r>
      <w:r w:rsidRPr="00767030">
        <w:rPr>
          <w:sz w:val="18"/>
          <w:szCs w:val="18"/>
          <w:lang w:val="da-DK"/>
        </w:rPr>
        <w:t>Hansen</w:t>
      </w:r>
      <w:r w:rsidR="00AB1140">
        <w:rPr>
          <w:sz w:val="18"/>
          <w:szCs w:val="18"/>
          <w:lang w:val="da-DK"/>
        </w:rPr>
        <w:t xml:space="preserve"> and</w:t>
      </w:r>
      <w:r w:rsidR="00767030" w:rsidRPr="00767030">
        <w:rPr>
          <w:sz w:val="18"/>
          <w:szCs w:val="18"/>
          <w:lang w:val="da-DK"/>
        </w:rPr>
        <w:t xml:space="preserve"> Thomas</w:t>
      </w:r>
      <w:r w:rsidRPr="00767030">
        <w:rPr>
          <w:sz w:val="18"/>
          <w:szCs w:val="18"/>
          <w:lang w:val="da-DK"/>
        </w:rPr>
        <w:t xml:space="preserve"> </w:t>
      </w:r>
      <w:proofErr w:type="spellStart"/>
      <w:r w:rsidRPr="00767030">
        <w:rPr>
          <w:sz w:val="18"/>
          <w:szCs w:val="18"/>
          <w:lang w:val="da-DK"/>
        </w:rPr>
        <w:t>Ziehe</w:t>
      </w:r>
      <w:proofErr w:type="spellEnd"/>
      <w:r w:rsidR="006B3665">
        <w:rPr>
          <w:sz w:val="18"/>
          <w:szCs w:val="18"/>
          <w:lang w:val="da-DK"/>
        </w:rPr>
        <w:t xml:space="preserve"> (Copenhagen</w:t>
      </w:r>
      <w:r w:rsidR="00767030" w:rsidRPr="00767030">
        <w:rPr>
          <w:sz w:val="18"/>
          <w:szCs w:val="18"/>
          <w:lang w:val="da-DK"/>
        </w:rPr>
        <w:t xml:space="preserve">: Hans Reitzels Forlag, 2015), </w:t>
      </w:r>
      <w:r w:rsidR="00EE2950">
        <w:rPr>
          <w:sz w:val="18"/>
          <w:szCs w:val="18"/>
          <w:lang w:val="da-DK"/>
        </w:rPr>
        <w:t>25</w:t>
      </w:r>
    </w:p>
    <w:p w:rsidR="001F46CC" w:rsidRPr="001F46CC" w:rsidRDefault="001F46CC">
      <w:pPr>
        <w:pStyle w:val="Fodnotetekst"/>
        <w:rPr>
          <w:lang w:val="da-DK"/>
        </w:rPr>
      </w:pPr>
    </w:p>
  </w:footnote>
  <w:footnote w:id="11">
    <w:p w:rsidR="00191CC5" w:rsidRPr="00E26B6F" w:rsidRDefault="00191CC5" w:rsidP="00E33EC4">
      <w:pPr>
        <w:pStyle w:val="Fodnotetekst"/>
        <w:ind w:left="0"/>
        <w:jc w:val="both"/>
        <w:rPr>
          <w:sz w:val="18"/>
          <w:szCs w:val="18"/>
          <w:lang w:val="en-US"/>
        </w:rPr>
      </w:pPr>
      <w:r w:rsidRPr="00E26B6F">
        <w:rPr>
          <w:rStyle w:val="Fodnotehenvisning"/>
          <w:sz w:val="18"/>
          <w:szCs w:val="18"/>
        </w:rPr>
        <w:footnoteRef/>
      </w:r>
      <w:r w:rsidRPr="00E26B6F">
        <w:rPr>
          <w:sz w:val="18"/>
          <w:szCs w:val="18"/>
        </w:rPr>
        <w:t xml:space="preserve"> </w:t>
      </w:r>
      <w:r w:rsidRPr="00E26B6F">
        <w:rPr>
          <w:sz w:val="18"/>
          <w:szCs w:val="18"/>
          <w:lang w:val="en-US"/>
        </w:rPr>
        <w:t>Plato</w:t>
      </w:r>
      <w:r w:rsidRPr="00E26B6F">
        <w:rPr>
          <w:sz w:val="18"/>
          <w:szCs w:val="18"/>
        </w:rPr>
        <w:t xml:space="preserve">. </w:t>
      </w:r>
      <w:r w:rsidRPr="00E26B6F">
        <w:rPr>
          <w:i/>
          <w:sz w:val="18"/>
          <w:szCs w:val="18"/>
        </w:rPr>
        <w:t xml:space="preserve">Republic, </w:t>
      </w:r>
      <w:r w:rsidRPr="00E26B6F">
        <w:rPr>
          <w:sz w:val="18"/>
          <w:szCs w:val="18"/>
        </w:rPr>
        <w:t xml:space="preserve">trans. Frances M. </w:t>
      </w:r>
      <w:proofErr w:type="spellStart"/>
      <w:r w:rsidRPr="00E26B6F">
        <w:rPr>
          <w:sz w:val="18"/>
          <w:szCs w:val="18"/>
        </w:rPr>
        <w:t>Cornford</w:t>
      </w:r>
      <w:proofErr w:type="spellEnd"/>
      <w:r w:rsidRPr="00E26B6F">
        <w:rPr>
          <w:sz w:val="18"/>
          <w:szCs w:val="18"/>
        </w:rPr>
        <w:t xml:space="preserve"> (Cambridge: Clarendon Press, 1941), 514a – 521b</w:t>
      </w:r>
    </w:p>
  </w:footnote>
  <w:footnote w:id="12">
    <w:p w:rsidR="00191CC5" w:rsidRPr="00E26B6F" w:rsidRDefault="00191CC5" w:rsidP="00E33EC4">
      <w:pPr>
        <w:pStyle w:val="Fodnotetekst"/>
        <w:ind w:left="0"/>
        <w:jc w:val="both"/>
        <w:rPr>
          <w:sz w:val="18"/>
          <w:szCs w:val="18"/>
          <w:lang w:val="fr-FR"/>
        </w:rPr>
      </w:pPr>
      <w:r w:rsidRPr="00E26B6F">
        <w:rPr>
          <w:rStyle w:val="Fodnotehenvisning"/>
          <w:sz w:val="18"/>
          <w:szCs w:val="18"/>
        </w:rPr>
        <w:footnoteRef/>
      </w:r>
      <w:r w:rsidR="00E13624">
        <w:rPr>
          <w:sz w:val="18"/>
          <w:szCs w:val="18"/>
          <w:lang w:val="fr-FR"/>
        </w:rPr>
        <w:t xml:space="preserve"> René Descartes.</w:t>
      </w:r>
      <w:r w:rsidRPr="00E26B6F">
        <w:rPr>
          <w:sz w:val="18"/>
          <w:szCs w:val="18"/>
          <w:lang w:val="fr-FR"/>
        </w:rPr>
        <w:t xml:space="preserve"> “Méditations métaphysiques”. In </w:t>
      </w:r>
      <w:r w:rsidRPr="00E26B6F">
        <w:rPr>
          <w:i/>
          <w:sz w:val="18"/>
          <w:szCs w:val="18"/>
          <w:lang w:val="fr-FR"/>
        </w:rPr>
        <w:t xml:space="preserve">Discours de la méthode et Mediations metaphysiques </w:t>
      </w:r>
      <w:r w:rsidRPr="00E26B6F">
        <w:rPr>
          <w:sz w:val="18"/>
          <w:szCs w:val="18"/>
          <w:lang w:val="fr-FR"/>
        </w:rPr>
        <w:t xml:space="preserve">(Paris : Flammarion, [1637] 1900), </w:t>
      </w:r>
      <w:r w:rsidR="00E26B6F" w:rsidRPr="00E26B6F">
        <w:rPr>
          <w:sz w:val="18"/>
          <w:szCs w:val="18"/>
          <w:lang w:val="fr-FR"/>
        </w:rPr>
        <w:t>82-98</w:t>
      </w:r>
    </w:p>
  </w:footnote>
  <w:footnote w:id="13">
    <w:p w:rsidR="00603A42" w:rsidRPr="00E26B6F" w:rsidRDefault="00603A42" w:rsidP="00E33EC4">
      <w:pPr>
        <w:pStyle w:val="Fodnotetekst"/>
        <w:ind w:left="0"/>
        <w:jc w:val="both"/>
        <w:rPr>
          <w:sz w:val="18"/>
          <w:szCs w:val="18"/>
          <w:lang w:val="en-US"/>
        </w:rPr>
      </w:pPr>
      <w:r w:rsidRPr="00E26B6F">
        <w:rPr>
          <w:rStyle w:val="Fodnotehenvisning"/>
          <w:sz w:val="18"/>
          <w:szCs w:val="18"/>
        </w:rPr>
        <w:footnoteRef/>
      </w:r>
      <w:r w:rsidRPr="00202B8C">
        <w:rPr>
          <w:sz w:val="18"/>
          <w:szCs w:val="18"/>
          <w:lang w:val="en-US"/>
        </w:rPr>
        <w:t xml:space="preserve"> John Locke.</w:t>
      </w:r>
      <w:r w:rsidRPr="00202B8C">
        <w:rPr>
          <w:i/>
          <w:sz w:val="18"/>
          <w:szCs w:val="18"/>
          <w:lang w:val="en-US"/>
        </w:rPr>
        <w:t xml:space="preserve"> Philosophical work</w:t>
      </w:r>
      <w:r w:rsidRPr="00E26B6F">
        <w:rPr>
          <w:i/>
          <w:sz w:val="18"/>
          <w:szCs w:val="18"/>
        </w:rPr>
        <w:t xml:space="preserve">s. Volume I. </w:t>
      </w:r>
      <w:r w:rsidRPr="00E26B6F">
        <w:rPr>
          <w:sz w:val="18"/>
          <w:szCs w:val="18"/>
        </w:rPr>
        <w:t>(London : George Bell and Sons, [1689] 1892), 179-180</w:t>
      </w:r>
    </w:p>
  </w:footnote>
  <w:footnote w:id="14">
    <w:p w:rsidR="00603A42" w:rsidRPr="00AB1140" w:rsidRDefault="00603A42" w:rsidP="00E33EC4">
      <w:pPr>
        <w:spacing w:line="240" w:lineRule="auto"/>
        <w:ind w:left="0"/>
        <w:jc w:val="both"/>
        <w:rPr>
          <w:sz w:val="18"/>
          <w:szCs w:val="18"/>
          <w:lang w:val="da-DK"/>
        </w:rPr>
      </w:pPr>
      <w:r w:rsidRPr="00E26B6F">
        <w:rPr>
          <w:rStyle w:val="Fodnotehenvisning"/>
          <w:sz w:val="18"/>
          <w:szCs w:val="18"/>
        </w:rPr>
        <w:footnoteRef/>
      </w:r>
      <w:r w:rsidRPr="00E26B6F">
        <w:rPr>
          <w:sz w:val="18"/>
          <w:szCs w:val="18"/>
        </w:rPr>
        <w:t xml:space="preserve"> </w:t>
      </w:r>
      <w:r w:rsidRPr="00E26B6F">
        <w:rPr>
          <w:sz w:val="18"/>
          <w:szCs w:val="18"/>
          <w:lang w:val="en-US"/>
        </w:rPr>
        <w:t xml:space="preserve">Alexander </w:t>
      </w:r>
      <w:proofErr w:type="spellStart"/>
      <w:r w:rsidRPr="00E26B6F">
        <w:rPr>
          <w:sz w:val="18"/>
          <w:szCs w:val="18"/>
          <w:lang w:val="en-US"/>
        </w:rPr>
        <w:t>Baumgarten</w:t>
      </w:r>
      <w:proofErr w:type="spellEnd"/>
      <w:r w:rsidRPr="00E26B6F">
        <w:rPr>
          <w:sz w:val="18"/>
          <w:szCs w:val="18"/>
          <w:lang w:val="en-US"/>
        </w:rPr>
        <w:t xml:space="preserve">. </w:t>
      </w:r>
      <w:r w:rsidRPr="00E26B6F">
        <w:rPr>
          <w:i/>
          <w:sz w:val="18"/>
          <w:szCs w:val="18"/>
        </w:rPr>
        <w:t xml:space="preserve">Reflections on Poetry, </w:t>
      </w:r>
      <w:r w:rsidRPr="00E26B6F">
        <w:rPr>
          <w:sz w:val="18"/>
          <w:szCs w:val="18"/>
        </w:rPr>
        <w:t xml:space="preserve">trans. Karl </w:t>
      </w:r>
      <w:proofErr w:type="spellStart"/>
      <w:r w:rsidRPr="00E26B6F">
        <w:rPr>
          <w:sz w:val="18"/>
          <w:szCs w:val="18"/>
        </w:rPr>
        <w:t>Aschenbrenner</w:t>
      </w:r>
      <w:proofErr w:type="spellEnd"/>
      <w:r w:rsidRPr="00E26B6F">
        <w:rPr>
          <w:sz w:val="18"/>
          <w:szCs w:val="18"/>
        </w:rPr>
        <w:t xml:space="preserve"> and William </w:t>
      </w:r>
      <w:proofErr w:type="spellStart"/>
      <w:r w:rsidRPr="00E26B6F">
        <w:rPr>
          <w:sz w:val="18"/>
          <w:szCs w:val="18"/>
        </w:rPr>
        <w:t>Holt</w:t>
      </w:r>
      <w:r w:rsidR="00AB1140">
        <w:rPr>
          <w:sz w:val="18"/>
          <w:szCs w:val="18"/>
        </w:rPr>
        <w:t>her</w:t>
      </w:r>
      <w:proofErr w:type="spellEnd"/>
      <w:r w:rsidR="00AB1140">
        <w:rPr>
          <w:sz w:val="18"/>
          <w:szCs w:val="18"/>
        </w:rPr>
        <w:t xml:space="preserve"> (</w:t>
      </w:r>
      <w:proofErr w:type="gramStart"/>
      <w:r w:rsidR="00AB1140">
        <w:rPr>
          <w:sz w:val="18"/>
          <w:szCs w:val="18"/>
        </w:rPr>
        <w:t>Berkeley :</w:t>
      </w:r>
      <w:proofErr w:type="gramEnd"/>
      <w:r w:rsidR="00AB1140">
        <w:rPr>
          <w:sz w:val="18"/>
          <w:szCs w:val="18"/>
        </w:rPr>
        <w:t xml:space="preserve"> University of C</w:t>
      </w:r>
      <w:r w:rsidRPr="00E26B6F">
        <w:rPr>
          <w:sz w:val="18"/>
          <w:szCs w:val="18"/>
        </w:rPr>
        <w:t>a</w:t>
      </w:r>
      <w:r w:rsidR="00AB1140">
        <w:rPr>
          <w:sz w:val="18"/>
          <w:szCs w:val="18"/>
        </w:rPr>
        <w:t>l</w:t>
      </w:r>
      <w:r w:rsidRPr="00E26B6F">
        <w:rPr>
          <w:sz w:val="18"/>
          <w:szCs w:val="18"/>
        </w:rPr>
        <w:t>ifornia Press, [1735] 1954), 78</w:t>
      </w:r>
      <w:r w:rsidR="004720EC">
        <w:rPr>
          <w:sz w:val="18"/>
          <w:szCs w:val="18"/>
        </w:rPr>
        <w:t>;</w:t>
      </w:r>
      <w:r w:rsidR="00E13624">
        <w:rPr>
          <w:sz w:val="18"/>
          <w:szCs w:val="18"/>
        </w:rPr>
        <w:t xml:space="preserve"> </w:t>
      </w:r>
      <w:r w:rsidR="00E13624" w:rsidRPr="004720EC">
        <w:rPr>
          <w:sz w:val="18"/>
          <w:szCs w:val="18"/>
          <w:lang w:val="en-US"/>
        </w:rPr>
        <w:t xml:space="preserve">Liselotte Hedegaard. </w:t>
      </w:r>
      <w:r w:rsidR="00E13624" w:rsidRPr="00E13624">
        <w:rPr>
          <w:sz w:val="18"/>
          <w:szCs w:val="18"/>
          <w:lang w:val="da-DK"/>
        </w:rPr>
        <w:t xml:space="preserve">“Filosofiske forståelser af smag”. </w:t>
      </w:r>
      <w:r w:rsidR="00E13624">
        <w:rPr>
          <w:sz w:val="18"/>
          <w:szCs w:val="18"/>
          <w:lang w:val="da-DK"/>
        </w:rPr>
        <w:t xml:space="preserve">In </w:t>
      </w:r>
      <w:r w:rsidR="00E13624">
        <w:rPr>
          <w:i/>
          <w:sz w:val="18"/>
          <w:szCs w:val="18"/>
          <w:lang w:val="da-DK"/>
        </w:rPr>
        <w:t>Perspektiver på smag</w:t>
      </w:r>
      <w:r w:rsidR="00AB1140">
        <w:rPr>
          <w:i/>
          <w:sz w:val="18"/>
          <w:szCs w:val="18"/>
          <w:lang w:val="da-DK"/>
        </w:rPr>
        <w:t xml:space="preserve">, </w:t>
      </w:r>
      <w:r w:rsidR="00AB1140">
        <w:rPr>
          <w:sz w:val="18"/>
          <w:szCs w:val="18"/>
          <w:lang w:val="da-DK"/>
        </w:rPr>
        <w:t xml:space="preserve">eds. Liselotte Hedegaard and Jonatan Leer </w:t>
      </w:r>
      <w:r w:rsidR="00AB1140" w:rsidRPr="00470E84">
        <w:rPr>
          <w:sz w:val="18"/>
          <w:szCs w:val="18"/>
          <w:lang w:val="da-DK"/>
        </w:rPr>
        <w:t xml:space="preserve">(Odense: Skriftserie </w:t>
      </w:r>
      <w:r w:rsidR="00AB1140" w:rsidRPr="0091031C">
        <w:rPr>
          <w:sz w:val="18"/>
          <w:szCs w:val="18"/>
          <w:lang w:val="da-DK"/>
        </w:rPr>
        <w:t xml:space="preserve">Smag, 2017), </w:t>
      </w:r>
      <w:r w:rsidR="00AB1140">
        <w:rPr>
          <w:sz w:val="18"/>
          <w:szCs w:val="18"/>
          <w:lang w:val="da-DK"/>
        </w:rPr>
        <w:t>97</w:t>
      </w:r>
      <w:r w:rsidR="00AB1140" w:rsidRPr="0091031C">
        <w:rPr>
          <w:sz w:val="18"/>
          <w:szCs w:val="18"/>
          <w:lang w:val="da-DK"/>
        </w:rPr>
        <w:t> </w:t>
      </w:r>
    </w:p>
  </w:footnote>
  <w:footnote w:id="15">
    <w:p w:rsidR="0009600A" w:rsidRPr="00E13624" w:rsidRDefault="0009600A" w:rsidP="00E33EC4">
      <w:pPr>
        <w:pStyle w:val="Fodnotetekst"/>
        <w:ind w:left="0"/>
        <w:jc w:val="both"/>
        <w:rPr>
          <w:sz w:val="18"/>
          <w:szCs w:val="18"/>
          <w:lang w:val="da-DK"/>
        </w:rPr>
      </w:pPr>
      <w:r w:rsidRPr="00E26B6F">
        <w:rPr>
          <w:rStyle w:val="Fodnotehenvisning"/>
          <w:sz w:val="18"/>
          <w:szCs w:val="18"/>
        </w:rPr>
        <w:footnoteRef/>
      </w:r>
      <w:r w:rsidRPr="00E26B6F">
        <w:rPr>
          <w:sz w:val="18"/>
          <w:szCs w:val="18"/>
          <w:lang w:val="da-DK"/>
        </w:rPr>
        <w:t xml:space="preserve"> Immanuel Kant. </w:t>
      </w:r>
      <w:r w:rsidRPr="00E26B6F">
        <w:rPr>
          <w:i/>
          <w:sz w:val="18"/>
          <w:szCs w:val="18"/>
          <w:lang w:val="da-DK"/>
        </w:rPr>
        <w:t xml:space="preserve">Kritik der </w:t>
      </w:r>
      <w:proofErr w:type="spellStart"/>
      <w:r w:rsidRPr="00E26B6F">
        <w:rPr>
          <w:i/>
          <w:sz w:val="18"/>
          <w:szCs w:val="18"/>
          <w:lang w:val="da-DK"/>
        </w:rPr>
        <w:t>Urteilskraft</w:t>
      </w:r>
      <w:proofErr w:type="spellEnd"/>
      <w:r w:rsidRPr="00E26B6F">
        <w:rPr>
          <w:i/>
          <w:sz w:val="18"/>
          <w:szCs w:val="18"/>
          <w:lang w:val="da-DK"/>
        </w:rPr>
        <w:t xml:space="preserve">. </w:t>
      </w:r>
      <w:r w:rsidRPr="00E13624">
        <w:rPr>
          <w:sz w:val="18"/>
          <w:szCs w:val="18"/>
          <w:lang w:val="da-DK"/>
        </w:rPr>
        <w:t xml:space="preserve">(Frankfurt am Main: Suhrkamp </w:t>
      </w:r>
      <w:proofErr w:type="spellStart"/>
      <w:r w:rsidRPr="00E13624">
        <w:rPr>
          <w:sz w:val="18"/>
          <w:szCs w:val="18"/>
          <w:lang w:val="da-DK"/>
        </w:rPr>
        <w:t>Taschenbuch</w:t>
      </w:r>
      <w:proofErr w:type="spellEnd"/>
      <w:r w:rsidRPr="00E13624">
        <w:rPr>
          <w:sz w:val="18"/>
          <w:szCs w:val="18"/>
          <w:lang w:val="da-DK"/>
        </w:rPr>
        <w:t xml:space="preserve"> </w:t>
      </w:r>
      <w:proofErr w:type="spellStart"/>
      <w:r w:rsidRPr="00E13624">
        <w:rPr>
          <w:sz w:val="18"/>
          <w:szCs w:val="18"/>
          <w:lang w:val="da-DK"/>
        </w:rPr>
        <w:t>Wissenschaft</w:t>
      </w:r>
      <w:proofErr w:type="spellEnd"/>
      <w:r w:rsidRPr="00E13624">
        <w:rPr>
          <w:sz w:val="18"/>
          <w:szCs w:val="18"/>
          <w:lang w:val="da-DK"/>
        </w:rPr>
        <w:t>, [1793] 1974), B19-20/A19-20</w:t>
      </w:r>
      <w:r w:rsidR="00790226">
        <w:rPr>
          <w:sz w:val="18"/>
          <w:szCs w:val="18"/>
          <w:lang w:val="da-DK"/>
        </w:rPr>
        <w:t xml:space="preserve">; </w:t>
      </w:r>
      <w:r w:rsidR="00790226" w:rsidRPr="00F579D3">
        <w:rPr>
          <w:sz w:val="18"/>
          <w:szCs w:val="18"/>
          <w:lang w:val="da-DK"/>
        </w:rPr>
        <w:t xml:space="preserve">Hedegaard, </w:t>
      </w:r>
      <w:r w:rsidR="00790226" w:rsidRPr="00F579D3">
        <w:rPr>
          <w:i/>
          <w:sz w:val="18"/>
          <w:szCs w:val="18"/>
          <w:lang w:val="da-DK"/>
        </w:rPr>
        <w:t>Filosofiske forståelser af smag</w:t>
      </w:r>
      <w:r w:rsidR="00790226">
        <w:rPr>
          <w:sz w:val="18"/>
          <w:szCs w:val="18"/>
          <w:lang w:val="da-DK"/>
        </w:rPr>
        <w:t>, 97</w:t>
      </w:r>
    </w:p>
  </w:footnote>
  <w:footnote w:id="16">
    <w:p w:rsidR="0009600A" w:rsidRPr="004924AF" w:rsidRDefault="0009600A" w:rsidP="00E33EC4">
      <w:pPr>
        <w:pStyle w:val="Fodnotetekst"/>
        <w:ind w:left="0"/>
        <w:jc w:val="both"/>
        <w:rPr>
          <w:lang w:val="da-DK"/>
        </w:rPr>
      </w:pPr>
      <w:r w:rsidRPr="00E26B6F">
        <w:rPr>
          <w:rStyle w:val="Fodnotehenvisning"/>
          <w:sz w:val="18"/>
          <w:szCs w:val="18"/>
        </w:rPr>
        <w:footnoteRef/>
      </w:r>
      <w:r w:rsidRPr="00E26B6F">
        <w:rPr>
          <w:sz w:val="18"/>
          <w:szCs w:val="18"/>
        </w:rPr>
        <w:t xml:space="preserve"> </w:t>
      </w:r>
      <w:r w:rsidRPr="00E26B6F">
        <w:rPr>
          <w:sz w:val="18"/>
          <w:szCs w:val="18"/>
          <w:lang w:val="en-US"/>
        </w:rPr>
        <w:t xml:space="preserve">David Hume. </w:t>
      </w:r>
      <w:proofErr w:type="gramStart"/>
      <w:r w:rsidRPr="00E26B6F">
        <w:rPr>
          <w:sz w:val="18"/>
          <w:szCs w:val="18"/>
          <w:lang w:val="en-US"/>
        </w:rPr>
        <w:t>“Of the Standard of Taste”.</w:t>
      </w:r>
      <w:proofErr w:type="gramEnd"/>
      <w:r w:rsidRPr="00E26B6F">
        <w:rPr>
          <w:i/>
          <w:sz w:val="18"/>
          <w:szCs w:val="18"/>
          <w:lang w:val="en-US"/>
        </w:rPr>
        <w:t xml:space="preserve"> </w:t>
      </w:r>
      <w:r w:rsidRPr="004924AF">
        <w:rPr>
          <w:sz w:val="18"/>
          <w:szCs w:val="18"/>
          <w:lang w:val="da-DK"/>
        </w:rPr>
        <w:t xml:space="preserve">In: </w:t>
      </w:r>
      <w:proofErr w:type="spellStart"/>
      <w:r w:rsidRPr="004924AF">
        <w:rPr>
          <w:i/>
          <w:sz w:val="18"/>
          <w:szCs w:val="18"/>
          <w:lang w:val="da-DK"/>
        </w:rPr>
        <w:t>Four</w:t>
      </w:r>
      <w:proofErr w:type="spellEnd"/>
      <w:r w:rsidRPr="004924AF">
        <w:rPr>
          <w:i/>
          <w:sz w:val="18"/>
          <w:szCs w:val="18"/>
          <w:lang w:val="da-DK"/>
        </w:rPr>
        <w:t xml:space="preserve"> dissertations</w:t>
      </w:r>
      <w:r w:rsidRPr="004924AF">
        <w:rPr>
          <w:sz w:val="18"/>
          <w:szCs w:val="18"/>
          <w:lang w:val="da-DK"/>
        </w:rPr>
        <w:t xml:space="preserve"> (London: A. </w:t>
      </w:r>
      <w:proofErr w:type="spellStart"/>
      <w:r w:rsidRPr="004924AF">
        <w:rPr>
          <w:sz w:val="18"/>
          <w:szCs w:val="18"/>
          <w:lang w:val="da-DK"/>
        </w:rPr>
        <w:t>Millar</w:t>
      </w:r>
      <w:proofErr w:type="spellEnd"/>
      <w:r w:rsidRPr="004924AF">
        <w:rPr>
          <w:sz w:val="18"/>
          <w:szCs w:val="18"/>
          <w:lang w:val="da-DK"/>
        </w:rPr>
        <w:t xml:space="preserve"> in The Strand, 1757), 217-220</w:t>
      </w:r>
      <w:r w:rsidR="00790226" w:rsidRPr="004924AF">
        <w:rPr>
          <w:sz w:val="18"/>
          <w:szCs w:val="18"/>
          <w:lang w:val="da-DK"/>
        </w:rPr>
        <w:t xml:space="preserve">; </w:t>
      </w:r>
      <w:r w:rsidR="00790226" w:rsidRPr="00F579D3">
        <w:rPr>
          <w:sz w:val="18"/>
          <w:szCs w:val="18"/>
          <w:lang w:val="da-DK"/>
        </w:rPr>
        <w:t xml:space="preserve">Hedegaard, </w:t>
      </w:r>
      <w:r w:rsidR="00790226" w:rsidRPr="00F579D3">
        <w:rPr>
          <w:i/>
          <w:sz w:val="18"/>
          <w:szCs w:val="18"/>
          <w:lang w:val="da-DK"/>
        </w:rPr>
        <w:t>Filosofiske forståelser af smag</w:t>
      </w:r>
      <w:r w:rsidR="00790226">
        <w:rPr>
          <w:sz w:val="18"/>
          <w:szCs w:val="18"/>
          <w:lang w:val="da-DK"/>
        </w:rPr>
        <w:t>, 97</w:t>
      </w:r>
    </w:p>
  </w:footnote>
  <w:footnote w:id="17">
    <w:p w:rsidR="004924AF" w:rsidRPr="004924AF" w:rsidRDefault="004924AF" w:rsidP="004924AF">
      <w:pPr>
        <w:pStyle w:val="Fodnotetekst"/>
        <w:ind w:left="0"/>
        <w:rPr>
          <w:lang w:val="da-DK"/>
        </w:rPr>
      </w:pPr>
      <w:r>
        <w:rPr>
          <w:rStyle w:val="Fodnotehenvisning"/>
        </w:rPr>
        <w:footnoteRef/>
      </w:r>
      <w:r w:rsidRPr="004924AF">
        <w:rPr>
          <w:lang w:val="da-DK"/>
        </w:rPr>
        <w:t xml:space="preserve"> </w:t>
      </w:r>
      <w:r w:rsidRPr="00F579D3">
        <w:rPr>
          <w:sz w:val="18"/>
          <w:szCs w:val="18"/>
          <w:lang w:val="da-DK"/>
        </w:rPr>
        <w:t xml:space="preserve">Hedegaard, </w:t>
      </w:r>
      <w:r w:rsidRPr="00F579D3">
        <w:rPr>
          <w:i/>
          <w:sz w:val="18"/>
          <w:szCs w:val="18"/>
          <w:lang w:val="da-DK"/>
        </w:rPr>
        <w:t>Filosofiske forståelser af smag</w:t>
      </w:r>
      <w:r>
        <w:rPr>
          <w:sz w:val="18"/>
          <w:szCs w:val="18"/>
          <w:lang w:val="da-DK"/>
        </w:rPr>
        <w:t>, 98</w:t>
      </w:r>
    </w:p>
  </w:footnote>
  <w:footnote w:id="18">
    <w:p w:rsidR="00E26B6F" w:rsidRPr="00DE4442" w:rsidRDefault="00E26B6F" w:rsidP="00DE4442">
      <w:pPr>
        <w:pStyle w:val="Fodnotetekst"/>
        <w:ind w:left="0"/>
        <w:rPr>
          <w:sz w:val="18"/>
          <w:szCs w:val="18"/>
          <w:lang w:val="fr-FR"/>
        </w:rPr>
      </w:pPr>
      <w:r w:rsidRPr="00DE4442">
        <w:rPr>
          <w:rStyle w:val="Fodnotehenvisning"/>
          <w:sz w:val="18"/>
          <w:szCs w:val="18"/>
        </w:rPr>
        <w:footnoteRef/>
      </w:r>
      <w:r w:rsidRPr="00202B8C">
        <w:rPr>
          <w:sz w:val="18"/>
          <w:szCs w:val="18"/>
          <w:lang w:val="fr-FR"/>
        </w:rPr>
        <w:t xml:space="preserve"> Maurice Merleau-Ponty. </w:t>
      </w:r>
      <w:r w:rsidRPr="00DE4442">
        <w:rPr>
          <w:rFonts w:cs="Times New Roman"/>
          <w:i/>
          <w:sz w:val="18"/>
          <w:szCs w:val="18"/>
          <w:lang w:val="fr-FR"/>
        </w:rPr>
        <w:t xml:space="preserve">Phénoménologie de la perception. </w:t>
      </w:r>
      <w:r w:rsidRPr="00DE4442">
        <w:rPr>
          <w:rFonts w:cs="Times New Roman"/>
          <w:sz w:val="18"/>
          <w:szCs w:val="18"/>
          <w:lang w:val="fr-FR"/>
        </w:rPr>
        <w:t>(Paris: Éditions Gallimard, 1945), 240</w:t>
      </w:r>
    </w:p>
  </w:footnote>
  <w:footnote w:id="19">
    <w:p w:rsidR="00E26B6F" w:rsidRPr="00ED4A28" w:rsidRDefault="00E26B6F" w:rsidP="00ED4A28">
      <w:pPr>
        <w:pStyle w:val="Fodnotetekst"/>
        <w:ind w:left="0"/>
        <w:jc w:val="both"/>
        <w:rPr>
          <w:sz w:val="18"/>
          <w:szCs w:val="18"/>
          <w:lang w:val="fr-FR"/>
        </w:rPr>
      </w:pPr>
      <w:r w:rsidRPr="00ED4A28">
        <w:rPr>
          <w:rStyle w:val="Fodnotehenvisning"/>
          <w:sz w:val="18"/>
          <w:szCs w:val="18"/>
        </w:rPr>
        <w:footnoteRef/>
      </w:r>
      <w:r w:rsidRPr="00ED4A28">
        <w:rPr>
          <w:sz w:val="18"/>
          <w:szCs w:val="18"/>
          <w:lang w:val="fr-FR"/>
        </w:rPr>
        <w:t xml:space="preserve"> Merleau-Ponty, </w:t>
      </w:r>
      <w:r w:rsidRPr="00ED4A28">
        <w:rPr>
          <w:rFonts w:cs="Times New Roman"/>
          <w:i/>
          <w:sz w:val="18"/>
          <w:szCs w:val="18"/>
          <w:lang w:val="fr-FR"/>
        </w:rPr>
        <w:t xml:space="preserve">Phénoménologie de la perception, </w:t>
      </w:r>
      <w:r w:rsidRPr="00ED4A28">
        <w:rPr>
          <w:rFonts w:cs="Times New Roman"/>
          <w:sz w:val="18"/>
          <w:szCs w:val="18"/>
          <w:lang w:val="fr-FR"/>
        </w:rPr>
        <w:t>113</w:t>
      </w:r>
    </w:p>
  </w:footnote>
  <w:footnote w:id="20">
    <w:p w:rsidR="00E26B6F" w:rsidRPr="00ED4A28" w:rsidRDefault="00E26B6F" w:rsidP="00ED4A28">
      <w:pPr>
        <w:pStyle w:val="Fodnotetekst"/>
        <w:ind w:left="0"/>
        <w:jc w:val="both"/>
        <w:rPr>
          <w:sz w:val="18"/>
          <w:szCs w:val="18"/>
          <w:lang w:val="fr-FR"/>
        </w:rPr>
      </w:pPr>
      <w:r w:rsidRPr="00ED4A28">
        <w:rPr>
          <w:rStyle w:val="Fodnotehenvisning"/>
          <w:sz w:val="18"/>
          <w:szCs w:val="18"/>
        </w:rPr>
        <w:footnoteRef/>
      </w:r>
      <w:r w:rsidRPr="00ED4A28">
        <w:rPr>
          <w:sz w:val="18"/>
          <w:szCs w:val="18"/>
          <w:lang w:val="fr-FR"/>
        </w:rPr>
        <w:t xml:space="preserve"> Merleau-Ponty, </w:t>
      </w:r>
      <w:r w:rsidRPr="00ED4A28">
        <w:rPr>
          <w:rFonts w:cs="Times New Roman"/>
          <w:i/>
          <w:sz w:val="18"/>
          <w:szCs w:val="18"/>
          <w:lang w:val="fr-FR"/>
        </w:rPr>
        <w:t xml:space="preserve">Phénoménologie de la perception, </w:t>
      </w:r>
      <w:r w:rsidRPr="00ED4A28">
        <w:rPr>
          <w:rFonts w:cs="Times New Roman"/>
          <w:sz w:val="18"/>
          <w:szCs w:val="18"/>
          <w:lang w:val="fr-FR"/>
        </w:rPr>
        <w:t>235</w:t>
      </w:r>
    </w:p>
  </w:footnote>
  <w:footnote w:id="21">
    <w:p w:rsidR="00E26B6F" w:rsidRPr="00ED4A28" w:rsidRDefault="00E26B6F" w:rsidP="00ED4A28">
      <w:pPr>
        <w:pStyle w:val="Fodnotetekst"/>
        <w:ind w:left="0"/>
        <w:jc w:val="both"/>
        <w:rPr>
          <w:sz w:val="18"/>
          <w:szCs w:val="18"/>
          <w:lang w:val="fr-FR"/>
        </w:rPr>
      </w:pPr>
      <w:r w:rsidRPr="00ED4A28">
        <w:rPr>
          <w:rStyle w:val="Fodnotehenvisning"/>
          <w:sz w:val="18"/>
          <w:szCs w:val="18"/>
        </w:rPr>
        <w:footnoteRef/>
      </w:r>
      <w:r w:rsidRPr="00ED4A28">
        <w:rPr>
          <w:sz w:val="18"/>
          <w:szCs w:val="18"/>
          <w:lang w:val="fr-FR"/>
        </w:rPr>
        <w:t xml:space="preserve"> Merleau-Ponty, </w:t>
      </w:r>
      <w:r w:rsidRPr="00ED4A28">
        <w:rPr>
          <w:rFonts w:cs="Times New Roman"/>
          <w:i/>
          <w:sz w:val="18"/>
          <w:szCs w:val="18"/>
          <w:lang w:val="fr-FR"/>
        </w:rPr>
        <w:t xml:space="preserve">Phénoménologie de la perception, </w:t>
      </w:r>
      <w:r w:rsidRPr="00ED4A28">
        <w:rPr>
          <w:rFonts w:cs="Times New Roman"/>
          <w:sz w:val="18"/>
          <w:szCs w:val="18"/>
          <w:lang w:val="fr-FR"/>
        </w:rPr>
        <w:t>271</w:t>
      </w:r>
    </w:p>
  </w:footnote>
  <w:footnote w:id="22">
    <w:p w:rsidR="00DE4442" w:rsidRPr="00ED4A28" w:rsidRDefault="00DE4442" w:rsidP="00ED4A28">
      <w:pPr>
        <w:pStyle w:val="Fodnotetekst"/>
        <w:ind w:left="0"/>
        <w:jc w:val="both"/>
        <w:rPr>
          <w:sz w:val="18"/>
          <w:szCs w:val="18"/>
          <w:lang w:val="fr-FR"/>
        </w:rPr>
      </w:pPr>
      <w:r w:rsidRPr="00ED4A28">
        <w:rPr>
          <w:rStyle w:val="Fodnotehenvisning"/>
          <w:sz w:val="18"/>
          <w:szCs w:val="18"/>
        </w:rPr>
        <w:footnoteRef/>
      </w:r>
      <w:r w:rsidRPr="00ED4A28">
        <w:rPr>
          <w:sz w:val="18"/>
          <w:szCs w:val="18"/>
          <w:lang w:val="fr-FR"/>
        </w:rPr>
        <w:t xml:space="preserve"> Aristotle.</w:t>
      </w:r>
      <w:r w:rsidRPr="00ED4A28">
        <w:rPr>
          <w:i/>
          <w:sz w:val="18"/>
          <w:szCs w:val="18"/>
          <w:lang w:val="fr-FR"/>
        </w:rPr>
        <w:t xml:space="preserve"> Métaphysique. I, </w:t>
      </w:r>
      <w:r w:rsidRPr="00ED4A28">
        <w:rPr>
          <w:sz w:val="18"/>
          <w:szCs w:val="18"/>
          <w:lang w:val="fr-FR"/>
        </w:rPr>
        <w:t>trans. J. Tricot (Paris : Librairie Philosophique J. Vrin. 2000), 980 a 21-25</w:t>
      </w:r>
    </w:p>
  </w:footnote>
  <w:footnote w:id="23">
    <w:p w:rsidR="00ED4A28" w:rsidRPr="00ED4A28" w:rsidRDefault="00ED4A28" w:rsidP="00ED4A28">
      <w:pPr>
        <w:spacing w:line="240" w:lineRule="auto"/>
        <w:ind w:left="0"/>
        <w:jc w:val="both"/>
        <w:rPr>
          <w:sz w:val="18"/>
          <w:szCs w:val="18"/>
          <w:lang w:val="fr-FR"/>
        </w:rPr>
      </w:pPr>
      <w:r w:rsidRPr="00ED4A28">
        <w:rPr>
          <w:rStyle w:val="Fodnotehenvisning"/>
          <w:sz w:val="18"/>
          <w:szCs w:val="18"/>
        </w:rPr>
        <w:footnoteRef/>
      </w:r>
      <w:r w:rsidRPr="00ED4A28">
        <w:rPr>
          <w:sz w:val="18"/>
          <w:szCs w:val="18"/>
          <w:lang w:val="fr-FR"/>
        </w:rPr>
        <w:t xml:space="preserve"> René Descartes. “La dioptrique“. In : </w:t>
      </w:r>
      <w:r w:rsidRPr="00ED4A28">
        <w:rPr>
          <w:i/>
          <w:sz w:val="18"/>
          <w:szCs w:val="18"/>
          <w:lang w:val="fr-FR"/>
        </w:rPr>
        <w:t xml:space="preserve">Discours de la méthode, plus La dioptrique et Les meteores. </w:t>
      </w:r>
      <w:r w:rsidRPr="00ED4A28">
        <w:rPr>
          <w:sz w:val="18"/>
          <w:szCs w:val="18"/>
          <w:lang w:val="fr-FR"/>
        </w:rPr>
        <w:t>(Paris: Henri le Gras, [1637] 1658), A1</w:t>
      </w:r>
    </w:p>
  </w:footnote>
  <w:footnote w:id="24">
    <w:p w:rsidR="00685053" w:rsidRPr="00ED4A28" w:rsidRDefault="00685053" w:rsidP="00ED4A28">
      <w:pPr>
        <w:pStyle w:val="Fodnotetekst"/>
        <w:ind w:left="0"/>
        <w:jc w:val="both"/>
        <w:rPr>
          <w:sz w:val="18"/>
          <w:szCs w:val="18"/>
          <w:lang w:val="fr-FR"/>
        </w:rPr>
      </w:pPr>
      <w:r w:rsidRPr="00ED4A28">
        <w:rPr>
          <w:rStyle w:val="Fodnotehenvisning"/>
          <w:sz w:val="18"/>
          <w:szCs w:val="18"/>
        </w:rPr>
        <w:footnoteRef/>
      </w:r>
      <w:r w:rsidRPr="00ED4A28">
        <w:rPr>
          <w:sz w:val="18"/>
          <w:szCs w:val="18"/>
          <w:lang w:val="fr-FR"/>
        </w:rPr>
        <w:t xml:space="preserve"> Merleau-Ponty, </w:t>
      </w:r>
      <w:r w:rsidRPr="00ED4A28">
        <w:rPr>
          <w:rFonts w:cs="Times New Roman"/>
          <w:i/>
          <w:sz w:val="18"/>
          <w:szCs w:val="18"/>
          <w:lang w:val="fr-FR"/>
        </w:rPr>
        <w:t xml:space="preserve">Phénoménologie de la perception, </w:t>
      </w:r>
      <w:r w:rsidRPr="00ED4A28">
        <w:rPr>
          <w:rFonts w:cs="Times New Roman"/>
          <w:sz w:val="18"/>
          <w:szCs w:val="18"/>
          <w:lang w:val="fr-FR"/>
        </w:rPr>
        <w:t>260</w:t>
      </w:r>
    </w:p>
  </w:footnote>
  <w:footnote w:id="25">
    <w:p w:rsidR="00685053" w:rsidRPr="00ED4A28" w:rsidRDefault="00685053" w:rsidP="00ED4A28">
      <w:pPr>
        <w:pStyle w:val="Fodnotetekst"/>
        <w:ind w:left="0"/>
        <w:jc w:val="both"/>
        <w:rPr>
          <w:sz w:val="18"/>
          <w:szCs w:val="18"/>
          <w:lang w:val="fr-FR"/>
        </w:rPr>
      </w:pPr>
      <w:r w:rsidRPr="00ED4A28">
        <w:rPr>
          <w:rStyle w:val="Fodnotehenvisning"/>
          <w:sz w:val="18"/>
          <w:szCs w:val="18"/>
        </w:rPr>
        <w:footnoteRef/>
      </w:r>
      <w:r w:rsidRPr="00ED4A28">
        <w:rPr>
          <w:sz w:val="18"/>
          <w:szCs w:val="18"/>
          <w:lang w:val="fr-FR"/>
        </w:rPr>
        <w:t xml:space="preserve"> Merleau-Ponty, </w:t>
      </w:r>
      <w:r w:rsidRPr="00ED4A28">
        <w:rPr>
          <w:rFonts w:cs="Times New Roman"/>
          <w:i/>
          <w:sz w:val="18"/>
          <w:szCs w:val="18"/>
          <w:lang w:val="fr-FR"/>
        </w:rPr>
        <w:t xml:space="preserve">Phénoménologie de la perception, </w:t>
      </w:r>
      <w:r w:rsidRPr="00ED4A28">
        <w:rPr>
          <w:rFonts w:cs="Times New Roman"/>
          <w:sz w:val="18"/>
          <w:szCs w:val="18"/>
          <w:lang w:val="fr-FR"/>
        </w:rPr>
        <w:t>235</w:t>
      </w:r>
    </w:p>
  </w:footnote>
  <w:footnote w:id="26">
    <w:p w:rsidR="00685053" w:rsidRPr="00ED4A28" w:rsidRDefault="00685053" w:rsidP="00ED4A28">
      <w:pPr>
        <w:pStyle w:val="Fodnotetekst"/>
        <w:ind w:left="0"/>
        <w:jc w:val="both"/>
        <w:rPr>
          <w:sz w:val="18"/>
          <w:szCs w:val="18"/>
          <w:lang w:val="fr-FR"/>
        </w:rPr>
      </w:pPr>
      <w:r w:rsidRPr="00ED4A28">
        <w:rPr>
          <w:rStyle w:val="Fodnotehenvisning"/>
          <w:sz w:val="18"/>
          <w:szCs w:val="18"/>
        </w:rPr>
        <w:footnoteRef/>
      </w:r>
      <w:r w:rsidRPr="00ED4A28">
        <w:rPr>
          <w:sz w:val="18"/>
          <w:szCs w:val="18"/>
          <w:lang w:val="fr-FR"/>
        </w:rPr>
        <w:t xml:space="preserve"> Merleau-Ponty, </w:t>
      </w:r>
      <w:r w:rsidRPr="00ED4A28">
        <w:rPr>
          <w:rFonts w:cs="Times New Roman"/>
          <w:i/>
          <w:sz w:val="18"/>
          <w:szCs w:val="18"/>
          <w:lang w:val="fr-FR"/>
        </w:rPr>
        <w:t xml:space="preserve">Phénoménologie de la perception, </w:t>
      </w:r>
      <w:r w:rsidRPr="00ED4A28">
        <w:rPr>
          <w:rFonts w:cs="Times New Roman"/>
          <w:sz w:val="18"/>
          <w:szCs w:val="18"/>
          <w:lang w:val="fr-FR"/>
        </w:rPr>
        <w:t>250</w:t>
      </w:r>
    </w:p>
  </w:footnote>
  <w:footnote w:id="27">
    <w:p w:rsidR="00685053" w:rsidRPr="00ED4A28" w:rsidRDefault="00685053" w:rsidP="00ED4A28">
      <w:pPr>
        <w:pStyle w:val="Fodnotetekst"/>
        <w:ind w:left="0"/>
        <w:jc w:val="both"/>
        <w:rPr>
          <w:sz w:val="18"/>
          <w:szCs w:val="18"/>
          <w:lang w:val="fr-FR"/>
        </w:rPr>
      </w:pPr>
      <w:r w:rsidRPr="00ED4A28">
        <w:rPr>
          <w:rStyle w:val="Fodnotehenvisning"/>
          <w:sz w:val="18"/>
          <w:szCs w:val="18"/>
        </w:rPr>
        <w:footnoteRef/>
      </w:r>
      <w:r w:rsidRPr="00ED4A28">
        <w:rPr>
          <w:sz w:val="18"/>
          <w:szCs w:val="18"/>
          <w:lang w:val="fr-FR"/>
        </w:rPr>
        <w:t xml:space="preserve"> Merleau-Ponty, </w:t>
      </w:r>
      <w:r w:rsidRPr="00ED4A28">
        <w:rPr>
          <w:rFonts w:cs="Times New Roman"/>
          <w:i/>
          <w:sz w:val="18"/>
          <w:szCs w:val="18"/>
          <w:lang w:val="fr-FR"/>
        </w:rPr>
        <w:t xml:space="preserve">Phénoménologie de la perception, </w:t>
      </w:r>
      <w:r w:rsidRPr="00ED4A28">
        <w:rPr>
          <w:rFonts w:cs="Times New Roman"/>
          <w:sz w:val="18"/>
          <w:szCs w:val="18"/>
          <w:lang w:val="fr-FR"/>
        </w:rPr>
        <w:t>282-283 ; 311-312</w:t>
      </w:r>
    </w:p>
  </w:footnote>
  <w:footnote w:id="28">
    <w:p w:rsidR="00685053" w:rsidRPr="00ED4A28" w:rsidRDefault="00685053" w:rsidP="00ED4A28">
      <w:pPr>
        <w:pStyle w:val="Fodnotetekst"/>
        <w:ind w:left="0"/>
        <w:jc w:val="both"/>
        <w:rPr>
          <w:sz w:val="18"/>
          <w:szCs w:val="18"/>
          <w:lang w:val="fr-FR"/>
        </w:rPr>
      </w:pPr>
      <w:r w:rsidRPr="00ED4A28">
        <w:rPr>
          <w:rStyle w:val="Fodnotehenvisning"/>
          <w:sz w:val="18"/>
          <w:szCs w:val="18"/>
        </w:rPr>
        <w:footnoteRef/>
      </w:r>
      <w:r w:rsidRPr="00ED4A28">
        <w:rPr>
          <w:sz w:val="18"/>
          <w:szCs w:val="18"/>
          <w:lang w:val="fr-FR"/>
        </w:rPr>
        <w:t xml:space="preserve"> Merleau-Ponty, </w:t>
      </w:r>
      <w:r w:rsidRPr="00ED4A28">
        <w:rPr>
          <w:rFonts w:cs="Times New Roman"/>
          <w:i/>
          <w:sz w:val="18"/>
          <w:szCs w:val="18"/>
          <w:lang w:val="fr-FR"/>
        </w:rPr>
        <w:t xml:space="preserve">Phénoménologie de la perception, </w:t>
      </w:r>
      <w:r w:rsidRPr="00ED4A28">
        <w:rPr>
          <w:rFonts w:cs="Times New Roman"/>
          <w:sz w:val="18"/>
          <w:szCs w:val="18"/>
          <w:lang w:val="fr-FR"/>
        </w:rPr>
        <w:t>363-366</w:t>
      </w:r>
    </w:p>
  </w:footnote>
  <w:footnote w:id="29">
    <w:p w:rsidR="00C3174B" w:rsidRPr="00ED4A28" w:rsidRDefault="00C3174B" w:rsidP="00ED4A28">
      <w:pPr>
        <w:pStyle w:val="Fodnotetekst"/>
        <w:ind w:left="0"/>
        <w:jc w:val="both"/>
        <w:rPr>
          <w:sz w:val="18"/>
          <w:szCs w:val="18"/>
          <w:lang w:val="fr-FR"/>
        </w:rPr>
      </w:pPr>
      <w:r w:rsidRPr="00ED4A28">
        <w:rPr>
          <w:rStyle w:val="Fodnotehenvisning"/>
          <w:sz w:val="18"/>
          <w:szCs w:val="18"/>
        </w:rPr>
        <w:footnoteRef/>
      </w:r>
      <w:r w:rsidRPr="00ED4A28">
        <w:rPr>
          <w:sz w:val="18"/>
          <w:szCs w:val="18"/>
          <w:lang w:val="fr-FR"/>
        </w:rPr>
        <w:t xml:space="preserve"> Merleau-Ponty, </w:t>
      </w:r>
      <w:r w:rsidRPr="00ED4A28">
        <w:rPr>
          <w:rFonts w:cs="Times New Roman"/>
          <w:i/>
          <w:sz w:val="18"/>
          <w:szCs w:val="18"/>
          <w:lang w:val="fr-FR"/>
        </w:rPr>
        <w:t xml:space="preserve">Phénoménologie de la perception, </w:t>
      </w:r>
      <w:r w:rsidRPr="00ED4A28">
        <w:rPr>
          <w:rFonts w:cs="Times New Roman"/>
          <w:sz w:val="18"/>
          <w:szCs w:val="18"/>
          <w:lang w:val="fr-FR"/>
        </w:rPr>
        <w:t>266</w:t>
      </w:r>
    </w:p>
  </w:footnote>
  <w:footnote w:id="30">
    <w:p w:rsidR="00C3174B" w:rsidRPr="00ED4A28" w:rsidRDefault="00C3174B" w:rsidP="00ED4A28">
      <w:pPr>
        <w:pStyle w:val="Fodnotetekst"/>
        <w:ind w:left="0"/>
        <w:rPr>
          <w:sz w:val="18"/>
          <w:szCs w:val="18"/>
          <w:lang w:val="fr-FR"/>
        </w:rPr>
      </w:pPr>
      <w:r w:rsidRPr="00ED4A28">
        <w:rPr>
          <w:rStyle w:val="Fodnotehenvisning"/>
          <w:sz w:val="18"/>
          <w:szCs w:val="18"/>
        </w:rPr>
        <w:footnoteRef/>
      </w:r>
      <w:r w:rsidRPr="00ED4A28">
        <w:rPr>
          <w:sz w:val="18"/>
          <w:szCs w:val="18"/>
          <w:lang w:val="fr-FR"/>
        </w:rPr>
        <w:t xml:space="preserve"> Merleau-Ponty, </w:t>
      </w:r>
      <w:r w:rsidRPr="00ED4A28">
        <w:rPr>
          <w:rFonts w:cs="Times New Roman"/>
          <w:i/>
          <w:sz w:val="18"/>
          <w:szCs w:val="18"/>
          <w:lang w:val="fr-FR"/>
        </w:rPr>
        <w:t xml:space="preserve">Phénoménologie de la perception, </w:t>
      </w:r>
      <w:r w:rsidRPr="00ED4A28">
        <w:rPr>
          <w:rFonts w:cs="Times New Roman"/>
          <w:sz w:val="18"/>
          <w:szCs w:val="18"/>
          <w:lang w:val="fr-FR"/>
        </w:rPr>
        <w:t>264-265</w:t>
      </w:r>
    </w:p>
  </w:footnote>
  <w:footnote w:id="31">
    <w:p w:rsidR="00E828E7" w:rsidRPr="00ED4A28" w:rsidRDefault="00E828E7" w:rsidP="00ED4A28">
      <w:pPr>
        <w:pStyle w:val="Fodnotetekst"/>
        <w:ind w:left="0"/>
        <w:rPr>
          <w:sz w:val="18"/>
          <w:szCs w:val="18"/>
          <w:lang w:val="fr-FR"/>
        </w:rPr>
      </w:pPr>
      <w:r w:rsidRPr="00ED4A28">
        <w:rPr>
          <w:rStyle w:val="Fodnotehenvisning"/>
          <w:sz w:val="18"/>
          <w:szCs w:val="18"/>
        </w:rPr>
        <w:footnoteRef/>
      </w:r>
      <w:r w:rsidRPr="00ED4A28">
        <w:rPr>
          <w:sz w:val="18"/>
          <w:szCs w:val="18"/>
          <w:lang w:val="fr-FR"/>
        </w:rPr>
        <w:t xml:space="preserve"> Merleau-Ponty, </w:t>
      </w:r>
      <w:r w:rsidRPr="00ED4A28">
        <w:rPr>
          <w:rFonts w:cs="Times New Roman"/>
          <w:i/>
          <w:sz w:val="18"/>
          <w:szCs w:val="18"/>
          <w:lang w:val="fr-FR"/>
        </w:rPr>
        <w:t xml:space="preserve">Phénoménologie de la perception, </w:t>
      </w:r>
      <w:r w:rsidRPr="00ED4A28">
        <w:rPr>
          <w:rFonts w:cs="Times New Roman"/>
          <w:sz w:val="18"/>
          <w:szCs w:val="18"/>
          <w:lang w:val="fr-FR"/>
        </w:rPr>
        <w:t>368</w:t>
      </w:r>
    </w:p>
  </w:footnote>
  <w:footnote w:id="32">
    <w:p w:rsidR="00E828E7" w:rsidRPr="00ED4A28" w:rsidRDefault="00E828E7" w:rsidP="00ED4A28">
      <w:pPr>
        <w:pStyle w:val="Fodnotetekst"/>
        <w:ind w:left="0"/>
        <w:rPr>
          <w:sz w:val="18"/>
          <w:szCs w:val="18"/>
          <w:lang w:val="fr-FR"/>
        </w:rPr>
      </w:pPr>
      <w:r w:rsidRPr="00ED4A28">
        <w:rPr>
          <w:rStyle w:val="Fodnotehenvisning"/>
          <w:sz w:val="18"/>
          <w:szCs w:val="18"/>
        </w:rPr>
        <w:footnoteRef/>
      </w:r>
      <w:r w:rsidRPr="00ED4A28">
        <w:rPr>
          <w:sz w:val="18"/>
          <w:szCs w:val="18"/>
          <w:lang w:val="fr-FR"/>
        </w:rPr>
        <w:t xml:space="preserve"> Merleau-Ponty, </w:t>
      </w:r>
      <w:r w:rsidRPr="00ED4A28">
        <w:rPr>
          <w:rFonts w:cs="Times New Roman"/>
          <w:i/>
          <w:sz w:val="18"/>
          <w:szCs w:val="18"/>
          <w:lang w:val="fr-FR"/>
        </w:rPr>
        <w:t xml:space="preserve">Phénoménologie de la perception, </w:t>
      </w:r>
      <w:r w:rsidRPr="00ED4A28">
        <w:rPr>
          <w:rFonts w:cs="Times New Roman"/>
          <w:sz w:val="18"/>
          <w:szCs w:val="18"/>
          <w:lang w:val="fr-FR"/>
        </w:rPr>
        <w:t>41</w:t>
      </w:r>
    </w:p>
  </w:footnote>
  <w:footnote w:id="33">
    <w:p w:rsidR="00DE4442" w:rsidRPr="00ED4A28" w:rsidRDefault="00DE4442" w:rsidP="00ED4A28">
      <w:pPr>
        <w:pStyle w:val="Fodnotetekst"/>
        <w:ind w:left="0"/>
        <w:rPr>
          <w:sz w:val="18"/>
          <w:szCs w:val="18"/>
          <w:lang w:val="fr-FR"/>
        </w:rPr>
      </w:pPr>
      <w:r w:rsidRPr="00ED4A28">
        <w:rPr>
          <w:rStyle w:val="Fodnotehenvisning"/>
          <w:sz w:val="18"/>
          <w:szCs w:val="18"/>
        </w:rPr>
        <w:footnoteRef/>
      </w:r>
      <w:r w:rsidRPr="00ED4A28">
        <w:rPr>
          <w:sz w:val="18"/>
          <w:szCs w:val="18"/>
          <w:lang w:val="fr-FR"/>
        </w:rPr>
        <w:t xml:space="preserve"> Merleau-Ponty, </w:t>
      </w:r>
      <w:r w:rsidRPr="00ED4A28">
        <w:rPr>
          <w:rFonts w:cs="Times New Roman"/>
          <w:i/>
          <w:sz w:val="18"/>
          <w:szCs w:val="18"/>
          <w:lang w:val="fr-FR"/>
        </w:rPr>
        <w:t xml:space="preserve">Phénoménologie de la perception, </w:t>
      </w:r>
      <w:r w:rsidRPr="00ED4A28">
        <w:rPr>
          <w:rFonts w:cs="Times New Roman"/>
          <w:sz w:val="18"/>
          <w:szCs w:val="18"/>
          <w:lang w:val="fr-FR"/>
        </w:rPr>
        <w:t>237</w:t>
      </w:r>
    </w:p>
  </w:footnote>
  <w:footnote w:id="34">
    <w:p w:rsidR="00DE4442" w:rsidRPr="00ED4A28" w:rsidRDefault="00DE4442" w:rsidP="00ED4A28">
      <w:pPr>
        <w:pStyle w:val="Fodnotetekst"/>
        <w:ind w:left="0"/>
        <w:rPr>
          <w:sz w:val="18"/>
          <w:szCs w:val="18"/>
          <w:lang w:val="fr-FR"/>
        </w:rPr>
      </w:pPr>
      <w:r w:rsidRPr="00ED4A28">
        <w:rPr>
          <w:rStyle w:val="Fodnotehenvisning"/>
          <w:sz w:val="18"/>
          <w:szCs w:val="18"/>
        </w:rPr>
        <w:footnoteRef/>
      </w:r>
      <w:r w:rsidRPr="00ED4A28">
        <w:rPr>
          <w:sz w:val="18"/>
          <w:szCs w:val="18"/>
          <w:lang w:val="fr-FR"/>
        </w:rPr>
        <w:t xml:space="preserve"> Merleau-Ponty, </w:t>
      </w:r>
      <w:r w:rsidRPr="00ED4A28">
        <w:rPr>
          <w:rFonts w:cs="Times New Roman"/>
          <w:i/>
          <w:sz w:val="18"/>
          <w:szCs w:val="18"/>
          <w:lang w:val="fr-FR"/>
        </w:rPr>
        <w:t xml:space="preserve">Phénoménologie de la perception, </w:t>
      </w:r>
      <w:r w:rsidRPr="00ED4A28">
        <w:rPr>
          <w:rFonts w:cs="Times New Roman"/>
          <w:sz w:val="18"/>
          <w:szCs w:val="18"/>
          <w:lang w:val="fr-FR"/>
        </w:rPr>
        <w:t>260-261</w:t>
      </w:r>
    </w:p>
  </w:footnote>
  <w:footnote w:id="35">
    <w:p w:rsidR="00ED4A28" w:rsidRPr="0091031C" w:rsidRDefault="00ED4A28" w:rsidP="00470E84">
      <w:pPr>
        <w:pStyle w:val="Fodnotetekst"/>
        <w:ind w:left="0"/>
        <w:jc w:val="both"/>
        <w:rPr>
          <w:sz w:val="18"/>
          <w:szCs w:val="18"/>
          <w:lang w:val="da-DK"/>
        </w:rPr>
      </w:pPr>
      <w:r w:rsidRPr="00470E84">
        <w:rPr>
          <w:rStyle w:val="Fodnotehenvisning"/>
          <w:sz w:val="18"/>
          <w:szCs w:val="18"/>
        </w:rPr>
        <w:footnoteRef/>
      </w:r>
      <w:r w:rsidRPr="00470E84">
        <w:rPr>
          <w:sz w:val="18"/>
          <w:szCs w:val="18"/>
          <w:lang w:val="da-DK"/>
        </w:rPr>
        <w:t xml:space="preserve"> </w:t>
      </w:r>
      <w:r w:rsidR="004720EC" w:rsidRPr="00F579D3">
        <w:rPr>
          <w:sz w:val="18"/>
          <w:szCs w:val="18"/>
          <w:lang w:val="da-DK"/>
        </w:rPr>
        <w:t xml:space="preserve">Hedegaard, </w:t>
      </w:r>
      <w:r w:rsidR="004720EC" w:rsidRPr="00F579D3">
        <w:rPr>
          <w:i/>
          <w:sz w:val="18"/>
          <w:szCs w:val="18"/>
          <w:lang w:val="da-DK"/>
        </w:rPr>
        <w:t>Filosofiske forståelser af smag</w:t>
      </w:r>
      <w:r w:rsidR="00BF64BD">
        <w:rPr>
          <w:sz w:val="18"/>
          <w:szCs w:val="18"/>
          <w:lang w:val="da-DK"/>
        </w:rPr>
        <w:t>, 98-100</w:t>
      </w:r>
    </w:p>
  </w:footnote>
  <w:footnote w:id="36">
    <w:p w:rsidR="0091031C" w:rsidRPr="002B4B86" w:rsidRDefault="0091031C" w:rsidP="002B4B86">
      <w:pPr>
        <w:spacing w:line="276" w:lineRule="auto"/>
        <w:ind w:left="0"/>
        <w:jc w:val="both"/>
        <w:rPr>
          <w:sz w:val="18"/>
          <w:szCs w:val="18"/>
          <w:lang w:val="fr-FR"/>
        </w:rPr>
      </w:pPr>
      <w:r w:rsidRPr="002B4B86">
        <w:rPr>
          <w:rStyle w:val="Fodnotehenvisning"/>
          <w:sz w:val="18"/>
          <w:szCs w:val="18"/>
        </w:rPr>
        <w:footnoteRef/>
      </w:r>
      <w:r w:rsidRPr="00202B8C">
        <w:rPr>
          <w:sz w:val="18"/>
          <w:szCs w:val="18"/>
          <w:lang w:val="fr-FR"/>
        </w:rPr>
        <w:t xml:space="preserve"> Jean Anthelme Brillat-Savarin. </w:t>
      </w:r>
      <w:r w:rsidRPr="002B4B86">
        <w:rPr>
          <w:i/>
          <w:sz w:val="18"/>
          <w:szCs w:val="18"/>
          <w:lang w:val="fr-FR"/>
        </w:rPr>
        <w:t xml:space="preserve">Physiologie du goût ou méditations de gastronomie transcendante. </w:t>
      </w:r>
      <w:r w:rsidRPr="002B4B86">
        <w:rPr>
          <w:sz w:val="18"/>
          <w:szCs w:val="18"/>
          <w:lang w:val="fr-FR"/>
        </w:rPr>
        <w:t>(Paris: Charpentier Librairie-Éditeur, 1865), 32</w:t>
      </w:r>
    </w:p>
  </w:footnote>
  <w:footnote w:id="37">
    <w:p w:rsidR="0091031C" w:rsidRPr="002B4B86" w:rsidRDefault="0091031C" w:rsidP="002B4B86">
      <w:pPr>
        <w:pStyle w:val="Fodnotetekst"/>
        <w:ind w:left="0"/>
        <w:jc w:val="both"/>
        <w:rPr>
          <w:sz w:val="18"/>
          <w:szCs w:val="18"/>
          <w:lang w:val="fr-FR"/>
        </w:rPr>
      </w:pPr>
      <w:r w:rsidRPr="002B4B86">
        <w:rPr>
          <w:rStyle w:val="Fodnotehenvisning"/>
          <w:sz w:val="18"/>
          <w:szCs w:val="18"/>
        </w:rPr>
        <w:footnoteRef/>
      </w:r>
      <w:r w:rsidRPr="002B4B86">
        <w:rPr>
          <w:sz w:val="18"/>
          <w:szCs w:val="18"/>
          <w:lang w:val="fr-FR"/>
        </w:rPr>
        <w:t xml:space="preserve"> Brillat-Savarin.</w:t>
      </w:r>
      <w:r w:rsidRPr="002B4B86">
        <w:rPr>
          <w:i/>
          <w:sz w:val="18"/>
          <w:szCs w:val="18"/>
          <w:lang w:val="fr-FR"/>
        </w:rPr>
        <w:t xml:space="preserve"> Physiologie du goût ou méditations de gastronomie transcendante, </w:t>
      </w:r>
      <w:r w:rsidRPr="002B4B86">
        <w:rPr>
          <w:sz w:val="18"/>
          <w:szCs w:val="18"/>
          <w:lang w:val="fr-FR"/>
        </w:rPr>
        <w:t xml:space="preserve">25, 305 </w:t>
      </w:r>
    </w:p>
  </w:footnote>
  <w:footnote w:id="38">
    <w:p w:rsidR="0091031C" w:rsidRPr="002B4B86" w:rsidRDefault="0091031C" w:rsidP="002B4B86">
      <w:pPr>
        <w:pStyle w:val="Fodnotetekst"/>
        <w:ind w:left="0"/>
        <w:jc w:val="both"/>
        <w:rPr>
          <w:sz w:val="18"/>
          <w:szCs w:val="18"/>
          <w:lang w:val="fr-FR"/>
        </w:rPr>
      </w:pPr>
      <w:r w:rsidRPr="002B4B86">
        <w:rPr>
          <w:rStyle w:val="Fodnotehenvisning"/>
          <w:sz w:val="18"/>
          <w:szCs w:val="18"/>
        </w:rPr>
        <w:footnoteRef/>
      </w:r>
      <w:r w:rsidRPr="002B4B86">
        <w:rPr>
          <w:sz w:val="18"/>
          <w:szCs w:val="18"/>
          <w:lang w:val="fr-FR"/>
        </w:rPr>
        <w:t xml:space="preserve"> Brillat-Savarin.</w:t>
      </w:r>
      <w:r w:rsidRPr="002B4B86">
        <w:rPr>
          <w:i/>
          <w:sz w:val="18"/>
          <w:szCs w:val="18"/>
          <w:lang w:val="fr-FR"/>
        </w:rPr>
        <w:t xml:space="preserve"> Physiologie du goût ou méditations de gastronomie transcendante, </w:t>
      </w:r>
      <w:r w:rsidRPr="002B4B86">
        <w:rPr>
          <w:sz w:val="18"/>
          <w:szCs w:val="18"/>
          <w:lang w:val="fr-FR"/>
        </w:rPr>
        <w:t>30-31</w:t>
      </w:r>
    </w:p>
  </w:footnote>
  <w:footnote w:id="39">
    <w:p w:rsidR="0091031C" w:rsidRPr="002B4B86" w:rsidRDefault="0091031C" w:rsidP="002B4B86">
      <w:pPr>
        <w:pStyle w:val="Fodnotetekst"/>
        <w:ind w:left="0"/>
        <w:jc w:val="both"/>
        <w:rPr>
          <w:sz w:val="18"/>
          <w:szCs w:val="18"/>
          <w:lang w:val="fr-FR"/>
        </w:rPr>
      </w:pPr>
      <w:r w:rsidRPr="002B4B86">
        <w:rPr>
          <w:rStyle w:val="Fodnotehenvisning"/>
          <w:sz w:val="18"/>
          <w:szCs w:val="18"/>
        </w:rPr>
        <w:footnoteRef/>
      </w:r>
      <w:r w:rsidRPr="002B4B86">
        <w:rPr>
          <w:sz w:val="18"/>
          <w:szCs w:val="18"/>
          <w:lang w:val="fr-FR"/>
        </w:rPr>
        <w:t xml:space="preserve"> Brillat-Savarin.</w:t>
      </w:r>
      <w:r w:rsidRPr="002B4B86">
        <w:rPr>
          <w:i/>
          <w:sz w:val="18"/>
          <w:szCs w:val="18"/>
          <w:lang w:val="fr-FR"/>
        </w:rPr>
        <w:t xml:space="preserve"> Physiologie du goût ou méditations de gastronomie transcendante, </w:t>
      </w:r>
      <w:r w:rsidRPr="002B4B86">
        <w:rPr>
          <w:sz w:val="18"/>
          <w:szCs w:val="18"/>
          <w:lang w:val="fr-FR"/>
        </w:rPr>
        <w:t>162</w:t>
      </w:r>
    </w:p>
  </w:footnote>
  <w:footnote w:id="40">
    <w:p w:rsidR="002B4B86" w:rsidRPr="00084106" w:rsidRDefault="002B4B86" w:rsidP="002B4B86">
      <w:pPr>
        <w:spacing w:line="276" w:lineRule="auto"/>
        <w:ind w:left="0"/>
        <w:jc w:val="both"/>
        <w:rPr>
          <w:rFonts w:eastAsiaTheme="minorEastAsia" w:cs="Georgia"/>
          <w:color w:val="5A5A5A"/>
          <w:sz w:val="18"/>
          <w:szCs w:val="18"/>
          <w:lang w:val="fr-FR"/>
        </w:rPr>
      </w:pPr>
      <w:r w:rsidRPr="002B4B86">
        <w:rPr>
          <w:rStyle w:val="Fodnotehenvisning"/>
          <w:sz w:val="18"/>
          <w:szCs w:val="18"/>
        </w:rPr>
        <w:footnoteRef/>
      </w:r>
      <w:r w:rsidRPr="002B4B86">
        <w:rPr>
          <w:sz w:val="18"/>
          <w:szCs w:val="18"/>
          <w:lang w:val="fr-FR"/>
        </w:rPr>
        <w:t xml:space="preserve"> Pauline Schmitt Pantel. </w:t>
      </w:r>
      <w:r w:rsidRPr="002B4B86">
        <w:rPr>
          <w:rFonts w:eastAsiaTheme="minorEastAsia" w:cs="Georgia,Italic"/>
          <w:i/>
          <w:iCs/>
          <w:color w:val="5A5A5A"/>
          <w:sz w:val="18"/>
          <w:szCs w:val="18"/>
          <w:lang w:val="fr-FR"/>
        </w:rPr>
        <w:t xml:space="preserve">La cité au banquet. Histoire des repas publics dans les cites grecques. </w:t>
      </w:r>
      <w:r w:rsidRPr="00084106">
        <w:rPr>
          <w:rFonts w:eastAsiaTheme="minorEastAsia" w:cs="Georgia"/>
          <w:color w:val="5A5A5A"/>
          <w:sz w:val="18"/>
          <w:szCs w:val="18"/>
          <w:lang w:val="fr-FR"/>
        </w:rPr>
        <w:t>(Paris: Les classiques de la Sorbonne, [1988] 2011)</w:t>
      </w:r>
    </w:p>
  </w:footnote>
  <w:footnote w:id="41">
    <w:p w:rsidR="00084106" w:rsidRPr="00E33EC4" w:rsidRDefault="00084106" w:rsidP="0011068A">
      <w:pPr>
        <w:spacing w:line="240" w:lineRule="auto"/>
        <w:ind w:left="0"/>
        <w:rPr>
          <w:rFonts w:eastAsiaTheme="minorEastAsia" w:cs="Georgia"/>
          <w:color w:val="5A5A5A"/>
          <w:sz w:val="18"/>
          <w:szCs w:val="18"/>
          <w:lang w:val="fr-FR"/>
        </w:rPr>
      </w:pPr>
      <w:r w:rsidRPr="0011068A">
        <w:rPr>
          <w:rStyle w:val="Fodnotehenvisning"/>
          <w:sz w:val="18"/>
          <w:szCs w:val="18"/>
        </w:rPr>
        <w:footnoteRef/>
      </w:r>
      <w:r w:rsidRPr="0011068A">
        <w:rPr>
          <w:sz w:val="18"/>
          <w:szCs w:val="18"/>
          <w:lang w:val="en-US"/>
        </w:rPr>
        <w:t xml:space="preserve"> Maurice Bloch</w:t>
      </w:r>
      <w:r w:rsidR="0011068A" w:rsidRPr="0011068A">
        <w:rPr>
          <w:sz w:val="18"/>
          <w:szCs w:val="18"/>
          <w:lang w:val="en-US"/>
        </w:rPr>
        <w:t xml:space="preserve">. </w:t>
      </w:r>
      <w:proofErr w:type="gramStart"/>
      <w:r w:rsidR="0011068A" w:rsidRPr="0011068A">
        <w:rPr>
          <w:rFonts w:eastAsiaTheme="minorEastAsia" w:cs="Georgia"/>
          <w:color w:val="5A5A5A"/>
          <w:sz w:val="18"/>
          <w:szCs w:val="18"/>
        </w:rPr>
        <w:t>”</w:t>
      </w:r>
      <w:r w:rsidR="0011068A" w:rsidRPr="0011068A">
        <w:rPr>
          <w:rFonts w:ascii="Georgia" w:eastAsiaTheme="minorEastAsia" w:hAnsi="Georgia" w:cs="Georgia"/>
          <w:color w:val="5A5A5A"/>
          <w:sz w:val="18"/>
          <w:szCs w:val="18"/>
        </w:rPr>
        <w:t>Commensality and poisoning</w:t>
      </w:r>
      <w:r w:rsidR="0011068A" w:rsidRPr="0011068A">
        <w:rPr>
          <w:rFonts w:eastAsiaTheme="minorEastAsia" w:cs="Georgia"/>
          <w:color w:val="5A5A5A"/>
          <w:sz w:val="18"/>
          <w:szCs w:val="18"/>
        </w:rPr>
        <w:t>”.</w:t>
      </w:r>
      <w:proofErr w:type="gramEnd"/>
      <w:r w:rsidR="0011068A" w:rsidRPr="0011068A">
        <w:rPr>
          <w:rFonts w:eastAsiaTheme="minorEastAsia" w:cs="Georgia"/>
          <w:color w:val="5A5A5A"/>
          <w:sz w:val="18"/>
          <w:szCs w:val="18"/>
        </w:rPr>
        <w:t xml:space="preserve"> </w:t>
      </w:r>
      <w:proofErr w:type="gramStart"/>
      <w:r w:rsidR="0011068A" w:rsidRPr="0011068A">
        <w:rPr>
          <w:rFonts w:eastAsiaTheme="minorEastAsia" w:cs="Georgia"/>
          <w:i/>
          <w:color w:val="5A5A5A"/>
          <w:sz w:val="18"/>
          <w:szCs w:val="18"/>
          <w:lang w:val="en-US"/>
        </w:rPr>
        <w:t>Social Research.</w:t>
      </w:r>
      <w:proofErr w:type="gramEnd"/>
      <w:r w:rsidR="0011068A" w:rsidRPr="0011068A">
        <w:rPr>
          <w:rFonts w:eastAsiaTheme="minorEastAsia" w:cs="Georgia"/>
          <w:i/>
          <w:color w:val="5A5A5A"/>
          <w:sz w:val="18"/>
          <w:szCs w:val="18"/>
          <w:lang w:val="en-US"/>
        </w:rPr>
        <w:t xml:space="preserve"> 66:1 </w:t>
      </w:r>
      <w:r w:rsidR="0011068A" w:rsidRPr="0011068A">
        <w:rPr>
          <w:rFonts w:eastAsiaTheme="minorEastAsia" w:cs="Georgia"/>
          <w:color w:val="5A5A5A"/>
          <w:sz w:val="18"/>
          <w:szCs w:val="18"/>
          <w:lang w:val="en-US"/>
        </w:rPr>
        <w:t>(1999): 133-</w:t>
      </w:r>
      <w:proofErr w:type="gramStart"/>
      <w:r w:rsidR="0011068A" w:rsidRPr="0011068A">
        <w:rPr>
          <w:rFonts w:eastAsiaTheme="minorEastAsia" w:cs="Georgia"/>
          <w:color w:val="5A5A5A"/>
          <w:sz w:val="18"/>
          <w:szCs w:val="18"/>
          <w:lang w:val="en-US"/>
        </w:rPr>
        <w:t>149</w:t>
      </w:r>
      <w:r w:rsidR="0011068A" w:rsidRPr="0011068A">
        <w:rPr>
          <w:rFonts w:cs="Georgia"/>
          <w:color w:val="5A5A5A"/>
          <w:sz w:val="18"/>
          <w:szCs w:val="18"/>
          <w:lang w:val="en-US"/>
        </w:rPr>
        <w:t> ;</w:t>
      </w:r>
      <w:proofErr w:type="gramEnd"/>
      <w:r w:rsidR="0011068A" w:rsidRPr="0011068A">
        <w:rPr>
          <w:rFonts w:cs="Georgia"/>
          <w:color w:val="5A5A5A"/>
          <w:sz w:val="18"/>
          <w:szCs w:val="18"/>
          <w:lang w:val="en-US"/>
        </w:rPr>
        <w:t xml:space="preserve"> Christy </w:t>
      </w:r>
      <w:r w:rsidR="0011068A" w:rsidRPr="0011068A">
        <w:rPr>
          <w:rFonts w:eastAsiaTheme="minorEastAsia" w:cs="Georgia"/>
          <w:color w:val="5A5A5A"/>
          <w:sz w:val="18"/>
          <w:szCs w:val="18"/>
        </w:rPr>
        <w:t>Shields-</w:t>
      </w:r>
      <w:proofErr w:type="spellStart"/>
      <w:r w:rsidR="0011068A" w:rsidRPr="0011068A">
        <w:rPr>
          <w:rFonts w:eastAsiaTheme="minorEastAsia" w:cs="Georgia"/>
          <w:color w:val="5A5A5A"/>
          <w:sz w:val="18"/>
          <w:szCs w:val="18"/>
        </w:rPr>
        <w:t>Argèles</w:t>
      </w:r>
      <w:proofErr w:type="spellEnd"/>
      <w:r w:rsidR="0011068A" w:rsidRPr="0011068A">
        <w:rPr>
          <w:rFonts w:eastAsiaTheme="minorEastAsia" w:cs="Georgia"/>
          <w:color w:val="5A5A5A"/>
          <w:sz w:val="18"/>
          <w:szCs w:val="18"/>
        </w:rPr>
        <w:t xml:space="preserve">. </w:t>
      </w:r>
      <w:proofErr w:type="gramStart"/>
      <w:r w:rsidR="0011068A" w:rsidRPr="0011068A">
        <w:rPr>
          <w:rFonts w:eastAsiaTheme="minorEastAsia" w:cs="Georgia"/>
          <w:color w:val="5A5A5A"/>
          <w:sz w:val="18"/>
          <w:szCs w:val="18"/>
        </w:rPr>
        <w:t>”</w:t>
      </w:r>
      <w:r w:rsidR="0011068A" w:rsidRPr="0011068A">
        <w:rPr>
          <w:rFonts w:ascii="Georgia" w:eastAsiaTheme="minorEastAsia" w:hAnsi="Georgia" w:cs="Georgia"/>
          <w:color w:val="5A5A5A"/>
          <w:sz w:val="18"/>
          <w:szCs w:val="18"/>
        </w:rPr>
        <w:t xml:space="preserve"> Imagining Self and The Other: Food and Identity in France and the United States</w:t>
      </w:r>
      <w:r w:rsidR="0011068A" w:rsidRPr="0011068A">
        <w:rPr>
          <w:rFonts w:eastAsiaTheme="minorEastAsia" w:cs="Georgia"/>
          <w:color w:val="5A5A5A"/>
          <w:sz w:val="18"/>
          <w:szCs w:val="18"/>
        </w:rPr>
        <w:t>”.</w:t>
      </w:r>
      <w:proofErr w:type="gramEnd"/>
      <w:r w:rsidR="0011068A" w:rsidRPr="0011068A">
        <w:rPr>
          <w:rFonts w:eastAsiaTheme="minorEastAsia" w:cs="Georgia"/>
          <w:color w:val="5A5A5A"/>
          <w:sz w:val="18"/>
          <w:szCs w:val="18"/>
        </w:rPr>
        <w:t xml:space="preserve"> </w:t>
      </w:r>
      <w:r w:rsidR="0011068A" w:rsidRPr="00E33EC4">
        <w:rPr>
          <w:rFonts w:eastAsiaTheme="minorEastAsia" w:cs="Georgia"/>
          <w:i/>
          <w:color w:val="5A5A5A"/>
          <w:sz w:val="18"/>
          <w:szCs w:val="18"/>
          <w:lang w:val="fr-FR"/>
        </w:rPr>
        <w:t xml:space="preserve">Food, Culture and Society. 7:2 </w:t>
      </w:r>
      <w:r w:rsidR="0011068A" w:rsidRPr="00E33EC4">
        <w:rPr>
          <w:rFonts w:eastAsiaTheme="minorEastAsia" w:cs="Georgia"/>
          <w:color w:val="5A5A5A"/>
          <w:sz w:val="18"/>
          <w:szCs w:val="18"/>
          <w:lang w:val="fr-FR"/>
        </w:rPr>
        <w:t>(2004): 13-28</w:t>
      </w:r>
    </w:p>
  </w:footnote>
  <w:footnote w:id="42">
    <w:p w:rsidR="00DE4442" w:rsidRPr="0011068A" w:rsidRDefault="00DE4442" w:rsidP="0011068A">
      <w:pPr>
        <w:pStyle w:val="Fodnotetekst"/>
        <w:ind w:left="0"/>
        <w:rPr>
          <w:sz w:val="18"/>
          <w:szCs w:val="18"/>
          <w:lang w:val="fr-FR"/>
        </w:rPr>
      </w:pPr>
      <w:r w:rsidRPr="0011068A">
        <w:rPr>
          <w:rStyle w:val="Fodnotehenvisning"/>
          <w:sz w:val="18"/>
          <w:szCs w:val="18"/>
        </w:rPr>
        <w:footnoteRef/>
      </w:r>
      <w:r w:rsidRPr="0011068A">
        <w:rPr>
          <w:sz w:val="18"/>
          <w:szCs w:val="18"/>
          <w:lang w:val="fr-FR"/>
        </w:rPr>
        <w:t xml:space="preserve"> Merleau-Ponty, </w:t>
      </w:r>
      <w:r w:rsidRPr="0011068A">
        <w:rPr>
          <w:rFonts w:cs="Times New Roman"/>
          <w:i/>
          <w:sz w:val="18"/>
          <w:szCs w:val="18"/>
          <w:lang w:val="fr-FR"/>
        </w:rPr>
        <w:t xml:space="preserve">Phénoménologie de la perception, </w:t>
      </w:r>
      <w:r w:rsidRPr="0011068A">
        <w:rPr>
          <w:rFonts w:cs="Times New Roman"/>
          <w:sz w:val="18"/>
          <w:szCs w:val="18"/>
          <w:lang w:val="fr-FR"/>
        </w:rPr>
        <w:t>VII-VIII</w:t>
      </w:r>
    </w:p>
  </w:footnote>
  <w:footnote w:id="43">
    <w:p w:rsidR="00DE4442" w:rsidRPr="0011068A" w:rsidRDefault="00DE4442" w:rsidP="0011068A">
      <w:pPr>
        <w:pStyle w:val="Fodnotetekst"/>
        <w:ind w:left="0"/>
        <w:rPr>
          <w:sz w:val="18"/>
          <w:szCs w:val="18"/>
          <w:lang w:val="fr-FR"/>
        </w:rPr>
      </w:pPr>
      <w:r w:rsidRPr="0011068A">
        <w:rPr>
          <w:rStyle w:val="Fodnotehenvisning"/>
          <w:sz w:val="18"/>
          <w:szCs w:val="18"/>
        </w:rPr>
        <w:footnoteRef/>
      </w:r>
      <w:r w:rsidRPr="0011068A">
        <w:rPr>
          <w:sz w:val="18"/>
          <w:szCs w:val="18"/>
          <w:lang w:val="fr-FR"/>
        </w:rPr>
        <w:t xml:space="preserve"> Merleau-Ponty, </w:t>
      </w:r>
      <w:r w:rsidRPr="0011068A">
        <w:rPr>
          <w:rFonts w:cs="Times New Roman"/>
          <w:i/>
          <w:sz w:val="18"/>
          <w:szCs w:val="18"/>
          <w:lang w:val="fr-FR"/>
        </w:rPr>
        <w:t xml:space="preserve">Phénoménologie de la perception, </w:t>
      </w:r>
      <w:r w:rsidRPr="0011068A">
        <w:rPr>
          <w:rFonts w:cs="Times New Roman"/>
          <w:sz w:val="18"/>
          <w:szCs w:val="18"/>
          <w:lang w:val="fr-FR"/>
        </w:rPr>
        <w:t>82-83</w:t>
      </w:r>
    </w:p>
  </w:footnote>
  <w:footnote w:id="44">
    <w:p w:rsidR="00DE4442" w:rsidRPr="0011068A" w:rsidRDefault="00DE4442" w:rsidP="0011068A">
      <w:pPr>
        <w:pStyle w:val="Fodnotetekst"/>
        <w:ind w:left="0"/>
        <w:rPr>
          <w:sz w:val="18"/>
          <w:szCs w:val="18"/>
          <w:lang w:val="fr-FR"/>
        </w:rPr>
      </w:pPr>
      <w:r w:rsidRPr="0011068A">
        <w:rPr>
          <w:rStyle w:val="Fodnotehenvisning"/>
          <w:sz w:val="18"/>
          <w:szCs w:val="18"/>
        </w:rPr>
        <w:footnoteRef/>
      </w:r>
      <w:r w:rsidRPr="0011068A">
        <w:rPr>
          <w:sz w:val="18"/>
          <w:szCs w:val="18"/>
          <w:lang w:val="fr-FR"/>
        </w:rPr>
        <w:t xml:space="preserve"> Merleau-Ponty, </w:t>
      </w:r>
      <w:r w:rsidRPr="0011068A">
        <w:rPr>
          <w:rFonts w:cs="Times New Roman"/>
          <w:i/>
          <w:sz w:val="18"/>
          <w:szCs w:val="18"/>
          <w:lang w:val="fr-FR"/>
        </w:rPr>
        <w:t xml:space="preserve">Phénoménologie de la perception, </w:t>
      </w:r>
      <w:r w:rsidRPr="0011068A">
        <w:rPr>
          <w:rFonts w:cs="Times New Roman"/>
          <w:sz w:val="18"/>
          <w:szCs w:val="18"/>
          <w:lang w:val="fr-FR"/>
        </w:rPr>
        <w:t>470</w:t>
      </w:r>
    </w:p>
  </w:footnote>
  <w:footnote w:id="45">
    <w:p w:rsidR="00DE4442" w:rsidRPr="0011068A" w:rsidRDefault="00DE4442" w:rsidP="0011068A">
      <w:pPr>
        <w:pStyle w:val="Fodnotetekst"/>
        <w:ind w:left="0"/>
        <w:rPr>
          <w:sz w:val="18"/>
          <w:szCs w:val="18"/>
          <w:lang w:val="fr-FR"/>
        </w:rPr>
      </w:pPr>
      <w:r w:rsidRPr="0011068A">
        <w:rPr>
          <w:rStyle w:val="Fodnotehenvisning"/>
          <w:sz w:val="18"/>
          <w:szCs w:val="18"/>
        </w:rPr>
        <w:footnoteRef/>
      </w:r>
      <w:r w:rsidRPr="0011068A">
        <w:rPr>
          <w:sz w:val="18"/>
          <w:szCs w:val="18"/>
          <w:lang w:val="fr-FR"/>
        </w:rPr>
        <w:t xml:space="preserve"> Merleau-Ponty, </w:t>
      </w:r>
      <w:r w:rsidRPr="0011068A">
        <w:rPr>
          <w:rFonts w:cs="Times New Roman"/>
          <w:i/>
          <w:sz w:val="18"/>
          <w:szCs w:val="18"/>
          <w:lang w:val="fr-FR"/>
        </w:rPr>
        <w:t xml:space="preserve">Phénoménologie de la perception, </w:t>
      </w:r>
      <w:r w:rsidRPr="0011068A">
        <w:rPr>
          <w:rFonts w:cs="Times New Roman"/>
          <w:sz w:val="18"/>
          <w:szCs w:val="18"/>
          <w:lang w:val="fr-FR"/>
        </w:rPr>
        <w:t>473-474</w:t>
      </w:r>
    </w:p>
  </w:footnote>
  <w:footnote w:id="46">
    <w:p w:rsidR="0011068A" w:rsidRPr="0011068A" w:rsidRDefault="0011068A" w:rsidP="0011068A">
      <w:pPr>
        <w:spacing w:line="276" w:lineRule="auto"/>
        <w:ind w:left="0"/>
        <w:rPr>
          <w:sz w:val="18"/>
          <w:szCs w:val="18"/>
          <w:lang w:val="fr-FR"/>
        </w:rPr>
      </w:pPr>
      <w:r w:rsidRPr="0011068A">
        <w:rPr>
          <w:rStyle w:val="Fodnotehenvisning"/>
          <w:sz w:val="18"/>
          <w:szCs w:val="18"/>
        </w:rPr>
        <w:footnoteRef/>
      </w:r>
      <w:r w:rsidRPr="0011068A">
        <w:rPr>
          <w:sz w:val="18"/>
          <w:szCs w:val="18"/>
          <w:lang w:val="fr-FR"/>
        </w:rPr>
        <w:t xml:space="preserve"> Marcel Proust. </w:t>
      </w:r>
      <w:r w:rsidRPr="0011068A">
        <w:rPr>
          <w:i/>
          <w:sz w:val="18"/>
          <w:szCs w:val="18"/>
          <w:lang w:val="fr-FR"/>
        </w:rPr>
        <w:t xml:space="preserve">À la recherché du temps perdu, 1. Du côté de chez Swann. </w:t>
      </w:r>
      <w:r w:rsidRPr="0011068A">
        <w:rPr>
          <w:sz w:val="18"/>
          <w:szCs w:val="18"/>
          <w:lang w:val="fr-FR"/>
        </w:rPr>
        <w:t>(Paris: Folio classique, Éditions Gallimard, 1988), 43-47</w:t>
      </w:r>
    </w:p>
    <w:p w:rsidR="0011068A" w:rsidRPr="0011068A" w:rsidRDefault="0011068A">
      <w:pPr>
        <w:pStyle w:val="Fodnotetekst"/>
        <w:rPr>
          <w:lang w:val="fr-FR"/>
        </w:rPr>
      </w:pPr>
    </w:p>
  </w:footnote>
  <w:footnote w:id="47">
    <w:p w:rsidR="0011068A" w:rsidRPr="00E33EC4" w:rsidRDefault="0011068A" w:rsidP="0011068A">
      <w:pPr>
        <w:pStyle w:val="Fodnotetekst"/>
        <w:ind w:left="0"/>
        <w:jc w:val="both"/>
        <w:rPr>
          <w:sz w:val="18"/>
          <w:szCs w:val="18"/>
          <w:lang w:val="da-DK"/>
        </w:rPr>
      </w:pPr>
      <w:r w:rsidRPr="0011068A">
        <w:rPr>
          <w:rStyle w:val="Fodnotehenvisning"/>
          <w:sz w:val="18"/>
          <w:szCs w:val="18"/>
        </w:rPr>
        <w:footnoteRef/>
      </w:r>
      <w:r w:rsidRPr="0011068A">
        <w:rPr>
          <w:sz w:val="18"/>
          <w:szCs w:val="18"/>
          <w:lang w:val="en-US"/>
        </w:rPr>
        <w:t xml:space="preserve"> Liselotte Hedegaard. </w:t>
      </w:r>
      <w:proofErr w:type="gramStart"/>
      <w:r w:rsidRPr="0011068A">
        <w:rPr>
          <w:i/>
          <w:sz w:val="18"/>
          <w:szCs w:val="18"/>
        </w:rPr>
        <w:t>The Taste of Place.</w:t>
      </w:r>
      <w:proofErr w:type="gramEnd"/>
      <w:r w:rsidRPr="0011068A">
        <w:rPr>
          <w:i/>
          <w:sz w:val="18"/>
          <w:szCs w:val="18"/>
        </w:rPr>
        <w:t xml:space="preserve"> </w:t>
      </w:r>
      <w:r w:rsidRPr="00E33EC4">
        <w:rPr>
          <w:sz w:val="18"/>
          <w:szCs w:val="18"/>
          <w:lang w:val="da-DK"/>
        </w:rPr>
        <w:t xml:space="preserve">(Aalborg: Aalborg </w:t>
      </w:r>
      <w:proofErr w:type="spellStart"/>
      <w:r w:rsidRPr="00E33EC4">
        <w:rPr>
          <w:sz w:val="18"/>
          <w:szCs w:val="18"/>
          <w:lang w:val="da-DK"/>
        </w:rPr>
        <w:t>University</w:t>
      </w:r>
      <w:proofErr w:type="spellEnd"/>
      <w:r w:rsidRPr="00E33EC4">
        <w:rPr>
          <w:sz w:val="18"/>
          <w:szCs w:val="18"/>
          <w:lang w:val="da-DK"/>
        </w:rPr>
        <w:t xml:space="preserve"> Press, 2016), 77-78</w:t>
      </w:r>
    </w:p>
  </w:footnote>
  <w:footnote w:id="48">
    <w:p w:rsidR="0011068A" w:rsidRPr="00F579D3" w:rsidRDefault="0011068A" w:rsidP="00F579D3">
      <w:pPr>
        <w:pStyle w:val="Fodnotetekst"/>
        <w:ind w:left="0"/>
        <w:jc w:val="both"/>
        <w:rPr>
          <w:sz w:val="18"/>
          <w:szCs w:val="18"/>
          <w:lang w:val="da-DK"/>
        </w:rPr>
      </w:pPr>
      <w:r w:rsidRPr="00F579D3">
        <w:rPr>
          <w:rStyle w:val="Fodnotehenvisning"/>
          <w:sz w:val="18"/>
          <w:szCs w:val="18"/>
        </w:rPr>
        <w:footnoteRef/>
      </w:r>
      <w:r w:rsidRPr="00F579D3">
        <w:rPr>
          <w:sz w:val="18"/>
          <w:szCs w:val="18"/>
          <w:lang w:val="da-DK"/>
        </w:rPr>
        <w:t xml:space="preserve"> Hedegaard, </w:t>
      </w:r>
      <w:r w:rsidRPr="00F579D3">
        <w:rPr>
          <w:i/>
          <w:sz w:val="18"/>
          <w:szCs w:val="18"/>
          <w:lang w:val="da-DK"/>
        </w:rPr>
        <w:t>Filosofiske forståelser af smag</w:t>
      </w:r>
      <w:r w:rsidRPr="00F579D3">
        <w:rPr>
          <w:sz w:val="18"/>
          <w:szCs w:val="18"/>
          <w:lang w:val="da-DK"/>
        </w:rPr>
        <w:t>, 101</w:t>
      </w:r>
    </w:p>
  </w:footnote>
  <w:footnote w:id="49">
    <w:p w:rsidR="0011068A" w:rsidRPr="00F579D3" w:rsidRDefault="0011068A" w:rsidP="00F579D3">
      <w:pPr>
        <w:pStyle w:val="Fodnotetekst"/>
        <w:ind w:left="0"/>
        <w:jc w:val="both"/>
        <w:rPr>
          <w:sz w:val="18"/>
          <w:szCs w:val="18"/>
          <w:lang w:val="da-DK"/>
        </w:rPr>
      </w:pPr>
      <w:r w:rsidRPr="00F579D3">
        <w:rPr>
          <w:rStyle w:val="Fodnotehenvisning"/>
          <w:sz w:val="18"/>
          <w:szCs w:val="18"/>
        </w:rPr>
        <w:footnoteRef/>
      </w:r>
      <w:r w:rsidRPr="00F579D3">
        <w:rPr>
          <w:sz w:val="18"/>
          <w:szCs w:val="18"/>
          <w:lang w:val="da-DK"/>
        </w:rPr>
        <w:t xml:space="preserve"> Carsten Friberg. “Æstetik som ’</w:t>
      </w:r>
      <w:proofErr w:type="spellStart"/>
      <w:r w:rsidRPr="00F579D3">
        <w:rPr>
          <w:sz w:val="18"/>
          <w:szCs w:val="18"/>
          <w:lang w:val="da-DK"/>
        </w:rPr>
        <w:t>aisthesis</w:t>
      </w:r>
      <w:proofErr w:type="spellEnd"/>
      <w:r w:rsidRPr="00F579D3">
        <w:rPr>
          <w:sz w:val="18"/>
          <w:szCs w:val="18"/>
          <w:lang w:val="da-DK"/>
        </w:rPr>
        <w:t xml:space="preserve">’”. In: </w:t>
      </w:r>
      <w:r w:rsidRPr="00F579D3">
        <w:rPr>
          <w:i/>
          <w:sz w:val="18"/>
          <w:szCs w:val="18"/>
          <w:lang w:val="da-DK"/>
        </w:rPr>
        <w:t xml:space="preserve">Æstetisk erfaring, </w:t>
      </w:r>
      <w:r w:rsidRPr="00F579D3">
        <w:rPr>
          <w:sz w:val="18"/>
          <w:szCs w:val="18"/>
          <w:lang w:val="da-DK"/>
        </w:rPr>
        <w:t>red. Ole Thyssen, (Copenhagen: Forlaget Samfundslitteratur, 2005), 109</w:t>
      </w:r>
    </w:p>
  </w:footnote>
  <w:footnote w:id="50">
    <w:p w:rsidR="0011068A" w:rsidRPr="00F579D3" w:rsidRDefault="0011068A" w:rsidP="00F579D3">
      <w:pPr>
        <w:spacing w:line="240" w:lineRule="auto"/>
        <w:ind w:left="0"/>
        <w:jc w:val="both"/>
        <w:rPr>
          <w:sz w:val="18"/>
          <w:szCs w:val="18"/>
          <w:lang w:val="fr-FR"/>
        </w:rPr>
      </w:pPr>
      <w:r w:rsidRPr="00F579D3">
        <w:rPr>
          <w:rStyle w:val="Fodnotehenvisning"/>
          <w:sz w:val="18"/>
          <w:szCs w:val="18"/>
        </w:rPr>
        <w:footnoteRef/>
      </w:r>
      <w:r w:rsidRPr="00E33EC4">
        <w:rPr>
          <w:sz w:val="18"/>
          <w:szCs w:val="18"/>
          <w:lang w:val="en-US"/>
        </w:rPr>
        <w:t xml:space="preserve"> </w:t>
      </w:r>
      <w:r w:rsidR="00F579D3" w:rsidRPr="00E33EC4">
        <w:rPr>
          <w:sz w:val="18"/>
          <w:szCs w:val="18"/>
          <w:lang w:val="en-US"/>
        </w:rPr>
        <w:t xml:space="preserve">Hans-Georg </w:t>
      </w:r>
      <w:proofErr w:type="spellStart"/>
      <w:r w:rsidR="00F579D3" w:rsidRPr="00E33EC4">
        <w:rPr>
          <w:sz w:val="18"/>
          <w:szCs w:val="18"/>
          <w:lang w:val="en-US"/>
        </w:rPr>
        <w:t>Gadamer</w:t>
      </w:r>
      <w:proofErr w:type="spellEnd"/>
      <w:r w:rsidR="00F579D3" w:rsidRPr="00E33EC4">
        <w:rPr>
          <w:sz w:val="18"/>
          <w:szCs w:val="18"/>
          <w:lang w:val="en-US"/>
        </w:rPr>
        <w:t xml:space="preserve">. </w:t>
      </w:r>
      <w:proofErr w:type="spellStart"/>
      <w:proofErr w:type="gramStart"/>
      <w:r w:rsidR="00F579D3" w:rsidRPr="00E33EC4">
        <w:rPr>
          <w:i/>
          <w:sz w:val="18"/>
          <w:szCs w:val="18"/>
          <w:lang w:val="en-US"/>
        </w:rPr>
        <w:t>Wahrheit</w:t>
      </w:r>
      <w:proofErr w:type="spellEnd"/>
      <w:r w:rsidR="00F579D3" w:rsidRPr="00E33EC4">
        <w:rPr>
          <w:i/>
          <w:sz w:val="18"/>
          <w:szCs w:val="18"/>
          <w:lang w:val="en-US"/>
        </w:rPr>
        <w:t xml:space="preserve"> und </w:t>
      </w:r>
      <w:proofErr w:type="spellStart"/>
      <w:r w:rsidR="00F579D3" w:rsidRPr="00E33EC4">
        <w:rPr>
          <w:i/>
          <w:sz w:val="18"/>
          <w:szCs w:val="18"/>
          <w:lang w:val="en-US"/>
        </w:rPr>
        <w:t>Methode</w:t>
      </w:r>
      <w:proofErr w:type="spellEnd"/>
      <w:r w:rsidR="00F579D3" w:rsidRPr="00E33EC4">
        <w:rPr>
          <w:i/>
          <w:sz w:val="18"/>
          <w:szCs w:val="18"/>
          <w:lang w:val="en-US"/>
        </w:rPr>
        <w:t>.</w:t>
      </w:r>
      <w:proofErr w:type="gramEnd"/>
      <w:r w:rsidR="00F579D3" w:rsidRPr="00E33EC4">
        <w:rPr>
          <w:i/>
          <w:sz w:val="18"/>
          <w:szCs w:val="18"/>
          <w:lang w:val="en-US"/>
        </w:rPr>
        <w:t xml:space="preserve"> </w:t>
      </w:r>
      <w:r w:rsidR="00F579D3" w:rsidRPr="00F579D3">
        <w:rPr>
          <w:i/>
          <w:sz w:val="18"/>
          <w:szCs w:val="18"/>
          <w:lang w:val="fr-FR"/>
        </w:rPr>
        <w:t xml:space="preserve">Grundzüge einer philosophischen Hermeneutik. </w:t>
      </w:r>
      <w:r w:rsidR="00F579D3" w:rsidRPr="00F579D3">
        <w:rPr>
          <w:sz w:val="18"/>
          <w:szCs w:val="18"/>
          <w:lang w:val="fr-FR"/>
        </w:rPr>
        <w:t xml:space="preserve">(Tübingen: Mohr Siebeck, [1960] 2010), 67; Merleau-Ponty, </w:t>
      </w:r>
      <w:r w:rsidR="00F579D3" w:rsidRPr="00F579D3">
        <w:rPr>
          <w:rFonts w:cs="Times New Roman"/>
          <w:i/>
          <w:sz w:val="18"/>
          <w:szCs w:val="18"/>
          <w:lang w:val="fr-FR"/>
        </w:rPr>
        <w:t xml:space="preserve">Phénoménologie de la perception, </w:t>
      </w:r>
      <w:r w:rsidR="00F579D3" w:rsidRPr="00F579D3">
        <w:rPr>
          <w:rFonts w:cs="Times New Roman"/>
          <w:sz w:val="18"/>
          <w:szCs w:val="18"/>
          <w:lang w:val="fr-FR"/>
        </w:rPr>
        <w:t>269</w:t>
      </w:r>
    </w:p>
  </w:footnote>
  <w:footnote w:id="51">
    <w:p w:rsidR="00F579D3" w:rsidRPr="00E33EC4" w:rsidRDefault="00F579D3" w:rsidP="00F579D3">
      <w:pPr>
        <w:pStyle w:val="Fodnotetekst"/>
        <w:ind w:left="0"/>
        <w:jc w:val="both"/>
        <w:rPr>
          <w:sz w:val="18"/>
          <w:szCs w:val="18"/>
          <w:lang w:val="en-US"/>
        </w:rPr>
      </w:pPr>
      <w:r w:rsidRPr="00F579D3">
        <w:rPr>
          <w:rStyle w:val="Fodnotehenvisning"/>
          <w:sz w:val="18"/>
          <w:szCs w:val="18"/>
        </w:rPr>
        <w:footnoteRef/>
      </w:r>
      <w:r w:rsidRPr="00F579D3">
        <w:rPr>
          <w:sz w:val="18"/>
          <w:szCs w:val="18"/>
          <w:lang w:val="en-US"/>
        </w:rPr>
        <w:t xml:space="preserve"> </w:t>
      </w:r>
      <w:proofErr w:type="spellStart"/>
      <w:proofErr w:type="gramStart"/>
      <w:r w:rsidRPr="00F579D3">
        <w:rPr>
          <w:sz w:val="18"/>
          <w:szCs w:val="18"/>
          <w:lang w:val="en-US"/>
        </w:rPr>
        <w:t>Gadamer</w:t>
      </w:r>
      <w:proofErr w:type="spellEnd"/>
      <w:r w:rsidRPr="00F579D3">
        <w:rPr>
          <w:sz w:val="18"/>
          <w:szCs w:val="18"/>
          <w:lang w:val="en-US"/>
        </w:rPr>
        <w:t>.</w:t>
      </w:r>
      <w:proofErr w:type="gramEnd"/>
      <w:r w:rsidRPr="00F579D3">
        <w:rPr>
          <w:sz w:val="18"/>
          <w:szCs w:val="18"/>
          <w:lang w:val="en-US"/>
        </w:rPr>
        <w:t xml:space="preserve"> </w:t>
      </w:r>
      <w:proofErr w:type="spellStart"/>
      <w:proofErr w:type="gramStart"/>
      <w:r w:rsidRPr="00F579D3">
        <w:rPr>
          <w:i/>
          <w:sz w:val="18"/>
          <w:szCs w:val="18"/>
          <w:lang w:val="en-US"/>
        </w:rPr>
        <w:t>Wahrheit</w:t>
      </w:r>
      <w:proofErr w:type="spellEnd"/>
      <w:r w:rsidRPr="00F579D3">
        <w:rPr>
          <w:i/>
          <w:sz w:val="18"/>
          <w:szCs w:val="18"/>
          <w:lang w:val="en-US"/>
        </w:rPr>
        <w:t xml:space="preserve"> und </w:t>
      </w:r>
      <w:proofErr w:type="spellStart"/>
      <w:r w:rsidRPr="00F579D3">
        <w:rPr>
          <w:i/>
          <w:sz w:val="18"/>
          <w:szCs w:val="18"/>
          <w:lang w:val="en-US"/>
        </w:rPr>
        <w:t>Methode</w:t>
      </w:r>
      <w:proofErr w:type="spellEnd"/>
      <w:r w:rsidRPr="00F579D3">
        <w:rPr>
          <w:i/>
          <w:sz w:val="18"/>
          <w:szCs w:val="18"/>
          <w:lang w:val="en-US"/>
        </w:rPr>
        <w:t>.</w:t>
      </w:r>
      <w:proofErr w:type="gramEnd"/>
      <w:r w:rsidRPr="00F579D3">
        <w:rPr>
          <w:i/>
          <w:sz w:val="18"/>
          <w:szCs w:val="18"/>
          <w:lang w:val="en-US"/>
        </w:rPr>
        <w:t xml:space="preserve"> </w:t>
      </w:r>
      <w:proofErr w:type="spellStart"/>
      <w:r w:rsidRPr="00F579D3">
        <w:rPr>
          <w:i/>
          <w:sz w:val="18"/>
          <w:szCs w:val="18"/>
          <w:lang w:val="en-US"/>
        </w:rPr>
        <w:t>Grundzüge</w:t>
      </w:r>
      <w:proofErr w:type="spellEnd"/>
      <w:r w:rsidRPr="00F579D3">
        <w:rPr>
          <w:i/>
          <w:sz w:val="18"/>
          <w:szCs w:val="18"/>
          <w:lang w:val="en-US"/>
        </w:rPr>
        <w:t xml:space="preserve"> </w:t>
      </w:r>
      <w:proofErr w:type="spellStart"/>
      <w:r w:rsidRPr="00F579D3">
        <w:rPr>
          <w:i/>
          <w:sz w:val="18"/>
          <w:szCs w:val="18"/>
          <w:lang w:val="en-US"/>
        </w:rPr>
        <w:t>einer</w:t>
      </w:r>
      <w:proofErr w:type="spellEnd"/>
      <w:r w:rsidRPr="00F579D3">
        <w:rPr>
          <w:i/>
          <w:sz w:val="18"/>
          <w:szCs w:val="18"/>
          <w:lang w:val="en-US"/>
        </w:rPr>
        <w:t xml:space="preserve"> </w:t>
      </w:r>
      <w:proofErr w:type="spellStart"/>
      <w:r w:rsidRPr="00F579D3">
        <w:rPr>
          <w:i/>
          <w:sz w:val="18"/>
          <w:szCs w:val="18"/>
          <w:lang w:val="en-US"/>
        </w:rPr>
        <w:t>philosophischen</w:t>
      </w:r>
      <w:proofErr w:type="spellEnd"/>
      <w:r w:rsidRPr="00F579D3">
        <w:rPr>
          <w:i/>
          <w:sz w:val="18"/>
          <w:szCs w:val="18"/>
          <w:lang w:val="en-US"/>
        </w:rPr>
        <w:t xml:space="preserve"> </w:t>
      </w:r>
      <w:proofErr w:type="spellStart"/>
      <w:r w:rsidRPr="00F579D3">
        <w:rPr>
          <w:i/>
          <w:sz w:val="18"/>
          <w:szCs w:val="18"/>
          <w:lang w:val="en-US"/>
        </w:rPr>
        <w:t>Hermeneutik</w:t>
      </w:r>
      <w:proofErr w:type="spellEnd"/>
      <w:r w:rsidRPr="00F579D3">
        <w:rPr>
          <w:i/>
          <w:sz w:val="18"/>
          <w:szCs w:val="18"/>
          <w:lang w:val="en-US"/>
        </w:rPr>
        <w:t xml:space="preserve">, </w:t>
      </w:r>
      <w:r w:rsidRPr="00E33EC4">
        <w:rPr>
          <w:sz w:val="18"/>
          <w:szCs w:val="18"/>
          <w:lang w:val="en-US"/>
        </w:rPr>
        <w:t>359</w:t>
      </w:r>
    </w:p>
  </w:footnote>
  <w:footnote w:id="52">
    <w:p w:rsidR="00DE4442" w:rsidRPr="00F579D3" w:rsidRDefault="00DE4442" w:rsidP="00F579D3">
      <w:pPr>
        <w:pStyle w:val="Fodnotetekst"/>
        <w:ind w:left="0"/>
        <w:jc w:val="both"/>
        <w:rPr>
          <w:sz w:val="18"/>
          <w:szCs w:val="18"/>
          <w:lang w:val="fr-FR"/>
        </w:rPr>
      </w:pPr>
      <w:r w:rsidRPr="00F579D3">
        <w:rPr>
          <w:rStyle w:val="Fodnotehenvisning"/>
          <w:sz w:val="18"/>
          <w:szCs w:val="18"/>
        </w:rPr>
        <w:footnoteRef/>
      </w:r>
      <w:r w:rsidRPr="00F579D3">
        <w:rPr>
          <w:sz w:val="18"/>
          <w:szCs w:val="18"/>
          <w:lang w:val="fr-FR"/>
        </w:rPr>
        <w:t xml:space="preserve"> Merleau-Ponty, </w:t>
      </w:r>
      <w:r w:rsidRPr="00F579D3">
        <w:rPr>
          <w:rFonts w:cs="Times New Roman"/>
          <w:i/>
          <w:sz w:val="18"/>
          <w:szCs w:val="18"/>
          <w:lang w:val="fr-FR"/>
        </w:rPr>
        <w:t xml:space="preserve">Phénoménologie de la perception, </w:t>
      </w:r>
      <w:r w:rsidRPr="00F579D3">
        <w:rPr>
          <w:rFonts w:cs="Times New Roman"/>
          <w:sz w:val="18"/>
          <w:szCs w:val="18"/>
          <w:lang w:val="fr-FR"/>
        </w:rPr>
        <w:t>XV</w:t>
      </w:r>
    </w:p>
  </w:footnote>
  <w:footnote w:id="53">
    <w:p w:rsidR="00F579D3" w:rsidRPr="00F579D3" w:rsidRDefault="00F579D3" w:rsidP="00F579D3">
      <w:pPr>
        <w:pStyle w:val="Fodnotetekst"/>
        <w:ind w:left="0"/>
        <w:jc w:val="both"/>
        <w:rPr>
          <w:sz w:val="18"/>
          <w:szCs w:val="18"/>
          <w:lang w:val="da-DK"/>
        </w:rPr>
      </w:pPr>
      <w:r w:rsidRPr="00F579D3">
        <w:rPr>
          <w:rStyle w:val="Fodnotehenvisning"/>
          <w:sz w:val="18"/>
          <w:szCs w:val="18"/>
        </w:rPr>
        <w:footnoteRef/>
      </w:r>
      <w:r w:rsidRPr="007A76F2">
        <w:rPr>
          <w:sz w:val="18"/>
          <w:szCs w:val="18"/>
          <w:lang w:val="da-DK"/>
        </w:rPr>
        <w:t xml:space="preserve"> </w:t>
      </w:r>
      <w:r w:rsidRPr="00F579D3">
        <w:rPr>
          <w:sz w:val="18"/>
          <w:szCs w:val="18"/>
          <w:lang w:val="da-DK"/>
        </w:rPr>
        <w:t xml:space="preserve">Friberg. </w:t>
      </w:r>
      <w:r w:rsidRPr="00F579D3">
        <w:rPr>
          <w:i/>
          <w:sz w:val="18"/>
          <w:szCs w:val="18"/>
          <w:lang w:val="da-DK"/>
        </w:rPr>
        <w:t>Æstetik som ’</w:t>
      </w:r>
      <w:proofErr w:type="spellStart"/>
      <w:r w:rsidRPr="00F579D3">
        <w:rPr>
          <w:i/>
          <w:sz w:val="18"/>
          <w:szCs w:val="18"/>
          <w:lang w:val="da-DK"/>
        </w:rPr>
        <w:t>aisthesis</w:t>
      </w:r>
      <w:proofErr w:type="spellEnd"/>
      <w:r w:rsidRPr="00F579D3">
        <w:rPr>
          <w:i/>
          <w:sz w:val="18"/>
          <w:szCs w:val="18"/>
          <w:lang w:val="da-DK"/>
        </w:rPr>
        <w:t>’</w:t>
      </w:r>
      <w:r w:rsidRPr="00F579D3">
        <w:rPr>
          <w:sz w:val="18"/>
          <w:szCs w:val="18"/>
          <w:lang w:val="da-DK"/>
        </w:rPr>
        <w:t>, 131-132</w:t>
      </w:r>
      <w:r w:rsidR="007A76F2">
        <w:rPr>
          <w:sz w:val="18"/>
          <w:szCs w:val="18"/>
          <w:lang w:val="da-DK"/>
        </w:rPr>
        <w:t xml:space="preserve">; </w:t>
      </w:r>
      <w:r w:rsidR="007A76F2" w:rsidRPr="00F579D3">
        <w:rPr>
          <w:sz w:val="18"/>
          <w:szCs w:val="18"/>
          <w:lang w:val="da-DK"/>
        </w:rPr>
        <w:t xml:space="preserve">Hedegaard, </w:t>
      </w:r>
      <w:r w:rsidR="007A76F2" w:rsidRPr="00F579D3">
        <w:rPr>
          <w:i/>
          <w:sz w:val="18"/>
          <w:szCs w:val="18"/>
          <w:lang w:val="da-DK"/>
        </w:rPr>
        <w:t>Filosofiske forståelser af smag</w:t>
      </w:r>
      <w:r w:rsidR="007A76F2">
        <w:rPr>
          <w:sz w:val="18"/>
          <w:szCs w:val="18"/>
          <w:lang w:val="da-DK"/>
        </w:rPr>
        <w:t>, 10</w:t>
      </w:r>
      <w:r w:rsidR="00661E8A">
        <w:rPr>
          <w:sz w:val="18"/>
          <w:szCs w:val="18"/>
          <w:lang w:val="da-DK"/>
        </w:rPr>
        <w:t>2</w:t>
      </w:r>
    </w:p>
  </w:footnote>
  <w:footnote w:id="54">
    <w:p w:rsidR="00F579D3" w:rsidRPr="00F579D3" w:rsidRDefault="00F579D3" w:rsidP="00F579D3">
      <w:pPr>
        <w:pStyle w:val="Fodnotetekst"/>
        <w:ind w:left="0"/>
        <w:jc w:val="both"/>
        <w:rPr>
          <w:lang w:val="da-DK"/>
        </w:rPr>
      </w:pPr>
      <w:r w:rsidRPr="00F579D3">
        <w:rPr>
          <w:rStyle w:val="Fodnotehenvisning"/>
          <w:sz w:val="18"/>
          <w:szCs w:val="18"/>
        </w:rPr>
        <w:footnoteRef/>
      </w:r>
      <w:r w:rsidRPr="00F579D3">
        <w:rPr>
          <w:sz w:val="18"/>
          <w:szCs w:val="18"/>
          <w:lang w:val="da-DK"/>
        </w:rPr>
        <w:t xml:space="preserve"> </w:t>
      </w:r>
      <w:r w:rsidRPr="00BE1012">
        <w:rPr>
          <w:sz w:val="18"/>
          <w:szCs w:val="18"/>
          <w:lang w:val="da-DK"/>
        </w:rPr>
        <w:t xml:space="preserve">Smag for Livet. </w:t>
      </w:r>
      <w:r w:rsidR="00BE1012" w:rsidRPr="00BE1012">
        <w:rPr>
          <w:rFonts w:cs="Georgia"/>
          <w:i/>
          <w:color w:val="5A5A5A"/>
          <w:sz w:val="18"/>
          <w:szCs w:val="18"/>
          <w:lang w:val="da-DK"/>
        </w:rPr>
        <w:t>Rødkålen, der skifter farve</w:t>
      </w:r>
      <w:r w:rsidRPr="00BE1012">
        <w:rPr>
          <w:rFonts w:cs="Georgia"/>
          <w:i/>
          <w:color w:val="5A5A5A"/>
          <w:sz w:val="18"/>
          <w:szCs w:val="18"/>
          <w:lang w:val="da-DK"/>
        </w:rPr>
        <w:t xml:space="preserve"> </w:t>
      </w:r>
      <w:proofErr w:type="spellStart"/>
      <w:r w:rsidRPr="00BE1012">
        <w:rPr>
          <w:rFonts w:cs="Georgia"/>
          <w:color w:val="5A5A5A"/>
          <w:sz w:val="18"/>
          <w:szCs w:val="18"/>
          <w:lang w:val="da-DK"/>
        </w:rPr>
        <w:t>Accessed</w:t>
      </w:r>
      <w:proofErr w:type="spellEnd"/>
      <w:r w:rsidRPr="00BE1012">
        <w:rPr>
          <w:rFonts w:cs="Georgia"/>
          <w:color w:val="5A5A5A"/>
          <w:sz w:val="18"/>
          <w:szCs w:val="18"/>
          <w:lang w:val="da-DK"/>
        </w:rPr>
        <w:t xml:space="preserve"> on </w:t>
      </w:r>
      <w:proofErr w:type="gramStart"/>
      <w:r w:rsidR="00BE1012" w:rsidRPr="00BE1012">
        <w:rPr>
          <w:rFonts w:cs="Georgia"/>
          <w:color w:val="5A5A5A"/>
          <w:sz w:val="18"/>
          <w:szCs w:val="18"/>
          <w:lang w:val="da-DK"/>
        </w:rPr>
        <w:t>December</w:t>
      </w:r>
      <w:proofErr w:type="gramEnd"/>
      <w:r w:rsidR="00BE1012" w:rsidRPr="00BE1012">
        <w:rPr>
          <w:rFonts w:cs="Georgia"/>
          <w:color w:val="5A5A5A"/>
          <w:sz w:val="18"/>
          <w:szCs w:val="18"/>
          <w:lang w:val="da-DK"/>
        </w:rPr>
        <w:t xml:space="preserve"> 14th</w:t>
      </w:r>
      <w:r w:rsidRPr="00BE1012">
        <w:rPr>
          <w:rFonts w:cs="Georgia"/>
          <w:color w:val="5A5A5A"/>
          <w:sz w:val="18"/>
          <w:szCs w:val="18"/>
          <w:lang w:val="da-DK"/>
        </w:rPr>
        <w:t xml:space="preserve"> 2017: </w:t>
      </w:r>
      <w:hyperlink r:id="rId1" w:history="1">
        <w:r w:rsidR="00BE1012" w:rsidRPr="00BE1012">
          <w:rPr>
            <w:rStyle w:val="Hyperlink"/>
            <w:sz w:val="18"/>
            <w:szCs w:val="18"/>
            <w:lang w:val="da-DK"/>
          </w:rPr>
          <w:t>http://www.smagforlivet.dk/materialer/pr%C3%B8v-selv-r%C3%B8dk%C3%A5len-der-skifter-farve</w:t>
        </w:r>
      </w:hyperlink>
      <w:r w:rsidR="00BE1012" w:rsidRPr="00BE1012">
        <w:rPr>
          <w:sz w:val="18"/>
          <w:szCs w:val="18"/>
          <w:lang w:val="da-DK"/>
        </w:rPr>
        <w:t>.</w:t>
      </w:r>
      <w:r w:rsidR="00BE1012">
        <w:rPr>
          <w:lang w:val="da-DK"/>
        </w:rPr>
        <w:t xml:space="preserve"> </w:t>
      </w:r>
    </w:p>
  </w:footnote>
  <w:footnote w:id="55">
    <w:p w:rsidR="00F579D3" w:rsidRPr="00661E8A" w:rsidRDefault="00F579D3" w:rsidP="00045970">
      <w:pPr>
        <w:pStyle w:val="Fodnotetekst"/>
        <w:ind w:left="0"/>
        <w:jc w:val="both"/>
        <w:rPr>
          <w:sz w:val="18"/>
          <w:szCs w:val="18"/>
          <w:lang w:val="en-US"/>
        </w:rPr>
      </w:pPr>
      <w:r w:rsidRPr="00045970">
        <w:rPr>
          <w:rStyle w:val="Fodnotehenvisning"/>
          <w:sz w:val="18"/>
          <w:szCs w:val="18"/>
        </w:rPr>
        <w:footnoteRef/>
      </w:r>
      <w:r w:rsidRPr="00045970">
        <w:rPr>
          <w:sz w:val="18"/>
          <w:szCs w:val="18"/>
          <w:lang w:val="da-DK"/>
        </w:rPr>
        <w:t xml:space="preserve"> Smag for Livet. </w:t>
      </w:r>
      <w:r w:rsidRPr="00045970">
        <w:rPr>
          <w:rFonts w:cs="Georgia"/>
          <w:i/>
          <w:color w:val="5A5A5A"/>
          <w:sz w:val="18"/>
          <w:szCs w:val="18"/>
          <w:lang w:val="da-DK"/>
        </w:rPr>
        <w:t xml:space="preserve">Smag i alle fag. </w:t>
      </w:r>
      <w:proofErr w:type="gramStart"/>
      <w:r w:rsidRPr="00960A5C">
        <w:rPr>
          <w:rFonts w:cs="Georgia"/>
          <w:color w:val="5A5A5A"/>
          <w:sz w:val="18"/>
          <w:szCs w:val="18"/>
          <w:lang w:val="en-US"/>
        </w:rPr>
        <w:t xml:space="preserve">Accessed on </w:t>
      </w:r>
      <w:r w:rsidR="00EF1964" w:rsidRPr="00960A5C">
        <w:rPr>
          <w:rFonts w:cs="Georgia"/>
          <w:color w:val="5A5A5A"/>
          <w:sz w:val="18"/>
          <w:szCs w:val="18"/>
          <w:lang w:val="en-US"/>
        </w:rPr>
        <w:t>December 14th</w:t>
      </w:r>
      <w:r w:rsidRPr="00960A5C">
        <w:rPr>
          <w:rFonts w:cs="Georgia"/>
          <w:color w:val="5A5A5A"/>
          <w:sz w:val="18"/>
          <w:szCs w:val="18"/>
          <w:lang w:val="en-US"/>
        </w:rPr>
        <w:t xml:space="preserve"> 2017: </w:t>
      </w:r>
      <w:hyperlink r:id="rId2" w:history="1">
        <w:r w:rsidRPr="00960A5C">
          <w:rPr>
            <w:rStyle w:val="Hyperlink"/>
            <w:rFonts w:cs="Georgia"/>
            <w:sz w:val="18"/>
            <w:szCs w:val="18"/>
            <w:lang w:val="en-US"/>
          </w:rPr>
          <w:t>http://www.smagforlivet.dk/sites/default/files/documents/Smag%20i%20alle%20fag.pdf</w:t>
        </w:r>
      </w:hyperlink>
      <w:r w:rsidRPr="00960A5C">
        <w:rPr>
          <w:rFonts w:cs="Georgia"/>
          <w:color w:val="5A5A5A"/>
          <w:sz w:val="18"/>
          <w:szCs w:val="18"/>
          <w:lang w:val="en-US"/>
        </w:rPr>
        <w:t xml:space="preserve"> .</w:t>
      </w:r>
      <w:proofErr w:type="gramEnd"/>
      <w:r w:rsidRPr="00960A5C">
        <w:rPr>
          <w:rFonts w:cs="Georgia"/>
          <w:color w:val="5A5A5A"/>
          <w:sz w:val="18"/>
          <w:szCs w:val="18"/>
          <w:lang w:val="en-US"/>
        </w:rPr>
        <w:t xml:space="preserve"> </w:t>
      </w:r>
      <w:r w:rsidRPr="00045970">
        <w:rPr>
          <w:rFonts w:cs="Georgia"/>
          <w:color w:val="5A5A5A"/>
          <w:sz w:val="18"/>
          <w:szCs w:val="18"/>
          <w:lang w:val="en-US"/>
        </w:rPr>
        <w:t>2016</w:t>
      </w:r>
    </w:p>
  </w:footnote>
  <w:footnote w:id="56">
    <w:p w:rsidR="00F579D3" w:rsidRPr="00661E8A" w:rsidRDefault="00F579D3" w:rsidP="00045970">
      <w:pPr>
        <w:pStyle w:val="Fodnotetekst"/>
        <w:ind w:left="0"/>
        <w:jc w:val="both"/>
        <w:rPr>
          <w:sz w:val="18"/>
          <w:szCs w:val="18"/>
          <w:lang w:val="en-US"/>
        </w:rPr>
      </w:pPr>
      <w:r w:rsidRPr="00045970">
        <w:rPr>
          <w:rStyle w:val="Fodnotehenvisning"/>
          <w:sz w:val="18"/>
          <w:szCs w:val="18"/>
        </w:rPr>
        <w:footnoteRef/>
      </w:r>
      <w:r w:rsidRPr="00045970">
        <w:rPr>
          <w:sz w:val="18"/>
          <w:szCs w:val="18"/>
        </w:rPr>
        <w:t xml:space="preserve"> </w:t>
      </w:r>
      <w:r w:rsidRPr="00661E8A">
        <w:rPr>
          <w:sz w:val="18"/>
          <w:szCs w:val="18"/>
          <w:lang w:val="en-US"/>
        </w:rPr>
        <w:t xml:space="preserve">Dewey, </w:t>
      </w:r>
      <w:r w:rsidR="00045970" w:rsidRPr="00045970">
        <w:rPr>
          <w:i/>
          <w:sz w:val="18"/>
          <w:szCs w:val="18"/>
        </w:rPr>
        <w:t>Experience and Education</w:t>
      </w:r>
      <w:r w:rsidR="00045970" w:rsidRPr="00661E8A">
        <w:rPr>
          <w:sz w:val="18"/>
          <w:szCs w:val="18"/>
          <w:lang w:val="en-US"/>
        </w:rPr>
        <w:t>, 13-14</w:t>
      </w:r>
    </w:p>
  </w:footnote>
  <w:footnote w:id="57">
    <w:p w:rsidR="00661E8A" w:rsidRPr="00661E8A" w:rsidRDefault="00661E8A" w:rsidP="00661E8A">
      <w:pPr>
        <w:pStyle w:val="Fodnotetekst"/>
        <w:ind w:left="0"/>
        <w:rPr>
          <w:lang w:val="en-US"/>
        </w:rPr>
      </w:pPr>
      <w:r>
        <w:rPr>
          <w:rStyle w:val="Fodnotehenvisning"/>
        </w:rPr>
        <w:footnoteRef/>
      </w:r>
      <w:r>
        <w:t xml:space="preserve"> </w:t>
      </w:r>
      <w:r w:rsidRPr="00661E8A">
        <w:rPr>
          <w:sz w:val="18"/>
          <w:szCs w:val="18"/>
          <w:lang w:val="en-US"/>
        </w:rPr>
        <w:t xml:space="preserve">Hedegaard, </w:t>
      </w:r>
      <w:proofErr w:type="spellStart"/>
      <w:r w:rsidRPr="00661E8A">
        <w:rPr>
          <w:i/>
          <w:sz w:val="18"/>
          <w:szCs w:val="18"/>
          <w:lang w:val="en-US"/>
        </w:rPr>
        <w:t>Filosofiske</w:t>
      </w:r>
      <w:proofErr w:type="spellEnd"/>
      <w:r w:rsidRPr="00661E8A">
        <w:rPr>
          <w:i/>
          <w:sz w:val="18"/>
          <w:szCs w:val="18"/>
          <w:lang w:val="en-US"/>
        </w:rPr>
        <w:t xml:space="preserve"> </w:t>
      </w:r>
      <w:proofErr w:type="spellStart"/>
      <w:r w:rsidRPr="00661E8A">
        <w:rPr>
          <w:i/>
          <w:sz w:val="18"/>
          <w:szCs w:val="18"/>
          <w:lang w:val="en-US"/>
        </w:rPr>
        <w:t>forståelser</w:t>
      </w:r>
      <w:proofErr w:type="spellEnd"/>
      <w:r w:rsidRPr="00661E8A">
        <w:rPr>
          <w:i/>
          <w:sz w:val="18"/>
          <w:szCs w:val="18"/>
          <w:lang w:val="en-US"/>
        </w:rPr>
        <w:t xml:space="preserve"> </w:t>
      </w:r>
      <w:proofErr w:type="spellStart"/>
      <w:r w:rsidRPr="00661E8A">
        <w:rPr>
          <w:i/>
          <w:sz w:val="18"/>
          <w:szCs w:val="18"/>
          <w:lang w:val="en-US"/>
        </w:rPr>
        <w:t>af</w:t>
      </w:r>
      <w:proofErr w:type="spellEnd"/>
      <w:r w:rsidRPr="00661E8A">
        <w:rPr>
          <w:i/>
          <w:sz w:val="18"/>
          <w:szCs w:val="18"/>
          <w:lang w:val="en-US"/>
        </w:rPr>
        <w:t xml:space="preserve"> </w:t>
      </w:r>
      <w:proofErr w:type="spellStart"/>
      <w:r w:rsidRPr="00661E8A">
        <w:rPr>
          <w:i/>
          <w:sz w:val="18"/>
          <w:szCs w:val="18"/>
          <w:lang w:val="en-US"/>
        </w:rPr>
        <w:t>smag</w:t>
      </w:r>
      <w:proofErr w:type="spellEnd"/>
      <w:r w:rsidRPr="00661E8A">
        <w:rPr>
          <w:sz w:val="18"/>
          <w:szCs w:val="18"/>
          <w:lang w:val="en-US"/>
        </w:rPr>
        <w:t>, 103</w:t>
      </w:r>
    </w:p>
  </w:footnote>
  <w:footnote w:id="58">
    <w:p w:rsidR="00045970" w:rsidRPr="00E33EC4" w:rsidRDefault="00045970" w:rsidP="00045970">
      <w:pPr>
        <w:pStyle w:val="Fodnotetekst"/>
        <w:ind w:left="0"/>
        <w:rPr>
          <w:sz w:val="18"/>
          <w:szCs w:val="18"/>
          <w:lang w:val="en-US"/>
        </w:rPr>
      </w:pPr>
      <w:r w:rsidRPr="00045970">
        <w:rPr>
          <w:rStyle w:val="Fodnotehenvisning"/>
          <w:sz w:val="18"/>
          <w:szCs w:val="18"/>
        </w:rPr>
        <w:footnoteRef/>
      </w:r>
      <w:r w:rsidRPr="00045970">
        <w:rPr>
          <w:sz w:val="18"/>
          <w:szCs w:val="18"/>
        </w:rPr>
        <w:t xml:space="preserve"> </w:t>
      </w:r>
      <w:r w:rsidRPr="00E33EC4">
        <w:rPr>
          <w:sz w:val="18"/>
          <w:szCs w:val="18"/>
          <w:lang w:val="en-US"/>
        </w:rPr>
        <w:t xml:space="preserve">Dewey, </w:t>
      </w:r>
      <w:r w:rsidRPr="00045970">
        <w:rPr>
          <w:i/>
          <w:sz w:val="18"/>
          <w:szCs w:val="18"/>
        </w:rPr>
        <w:t>Experience and Education</w:t>
      </w:r>
      <w:r w:rsidRPr="00E33EC4">
        <w:rPr>
          <w:sz w:val="18"/>
          <w:szCs w:val="18"/>
          <w:lang w:val="en-US"/>
        </w:rPr>
        <w:t>, 12-13</w:t>
      </w:r>
    </w:p>
  </w:footnote>
  <w:footnote w:id="59">
    <w:p w:rsidR="00045970" w:rsidRPr="00202B8C" w:rsidRDefault="00045970" w:rsidP="00045970">
      <w:pPr>
        <w:pStyle w:val="Fodnotetekst"/>
        <w:ind w:left="0"/>
        <w:rPr>
          <w:lang w:val="da-DK"/>
        </w:rPr>
      </w:pPr>
      <w:r w:rsidRPr="00045970">
        <w:rPr>
          <w:rStyle w:val="Fodnotehenvisning"/>
          <w:sz w:val="18"/>
          <w:szCs w:val="18"/>
        </w:rPr>
        <w:footnoteRef/>
      </w:r>
      <w:r w:rsidRPr="00202B8C">
        <w:rPr>
          <w:sz w:val="18"/>
          <w:szCs w:val="18"/>
          <w:lang w:val="da-DK"/>
        </w:rPr>
        <w:t xml:space="preserve"> Dewey, </w:t>
      </w:r>
      <w:r w:rsidRPr="00202B8C">
        <w:rPr>
          <w:i/>
          <w:sz w:val="18"/>
          <w:szCs w:val="18"/>
          <w:lang w:val="da-DK"/>
        </w:rPr>
        <w:t>Democracy and Education</w:t>
      </w:r>
      <w:r w:rsidRPr="00202B8C">
        <w:rPr>
          <w:sz w:val="18"/>
          <w:szCs w:val="18"/>
          <w:lang w:val="da-DK"/>
        </w:rPr>
        <w:t>, 21</w:t>
      </w:r>
    </w:p>
  </w:footnote>
  <w:footnote w:id="60">
    <w:p w:rsidR="008B0C58" w:rsidRPr="008B0C58" w:rsidRDefault="008B0C58" w:rsidP="008B0C58">
      <w:pPr>
        <w:pStyle w:val="Fodnotetekst"/>
        <w:ind w:left="0"/>
        <w:rPr>
          <w:lang w:val="da-DK"/>
        </w:rPr>
      </w:pPr>
      <w:r>
        <w:rPr>
          <w:rStyle w:val="Fodnotehenvisning"/>
        </w:rPr>
        <w:footnoteRef/>
      </w:r>
      <w:r w:rsidRPr="008B0C58">
        <w:rPr>
          <w:lang w:val="da-DK"/>
        </w:rPr>
        <w:t xml:space="preserve"> </w:t>
      </w:r>
      <w:r w:rsidRPr="00F579D3">
        <w:rPr>
          <w:sz w:val="18"/>
          <w:szCs w:val="18"/>
          <w:lang w:val="da-DK"/>
        </w:rPr>
        <w:t xml:space="preserve">Hedegaard, </w:t>
      </w:r>
      <w:r w:rsidRPr="00F579D3">
        <w:rPr>
          <w:i/>
          <w:sz w:val="18"/>
          <w:szCs w:val="18"/>
          <w:lang w:val="da-DK"/>
        </w:rPr>
        <w:t>Filosofiske forståelser af smag</w:t>
      </w:r>
      <w:r>
        <w:rPr>
          <w:sz w:val="18"/>
          <w:szCs w:val="18"/>
          <w:lang w:val="da-DK"/>
        </w:rPr>
        <w:t>, 104</w:t>
      </w:r>
    </w:p>
  </w:footnote>
  <w:footnote w:id="61">
    <w:p w:rsidR="005D6DCF" w:rsidRPr="005D6DCF" w:rsidRDefault="005D6DCF" w:rsidP="005D6DCF">
      <w:pPr>
        <w:pStyle w:val="Fodnotetekst"/>
        <w:ind w:left="0"/>
        <w:jc w:val="both"/>
        <w:rPr>
          <w:sz w:val="18"/>
          <w:szCs w:val="18"/>
          <w:lang w:val="en-US"/>
        </w:rPr>
      </w:pPr>
      <w:r w:rsidRPr="005D6DCF">
        <w:rPr>
          <w:rStyle w:val="Fodnotehenvisning"/>
          <w:sz w:val="18"/>
          <w:szCs w:val="18"/>
        </w:rPr>
        <w:footnoteRef/>
      </w:r>
      <w:r w:rsidRPr="005D6DCF">
        <w:rPr>
          <w:sz w:val="18"/>
          <w:szCs w:val="18"/>
          <w:lang w:val="da-DK"/>
        </w:rPr>
        <w:t xml:space="preserve"> Smag for Livet. </w:t>
      </w:r>
      <w:r w:rsidRPr="00202B8C">
        <w:rPr>
          <w:i/>
          <w:sz w:val="18"/>
          <w:szCs w:val="18"/>
          <w:lang w:val="en-US"/>
        </w:rPr>
        <w:t xml:space="preserve">Teksturkort. </w:t>
      </w:r>
      <w:r w:rsidRPr="005D6DCF">
        <w:rPr>
          <w:sz w:val="18"/>
          <w:szCs w:val="18"/>
          <w:lang w:val="en-US"/>
        </w:rPr>
        <w:t xml:space="preserve">Accessed on December 14th 2017: </w:t>
      </w:r>
      <w:hyperlink r:id="rId3" w:history="1">
        <w:r w:rsidRPr="005D6DCF">
          <w:rPr>
            <w:rStyle w:val="Hyperlink"/>
            <w:sz w:val="18"/>
            <w:szCs w:val="18"/>
            <w:lang w:val="en-US"/>
          </w:rPr>
          <w:t>http://www.smagforlivet.dk/materialer/teksturkort-s%C3%A5dan-kan-du-beskrive-hvordan-maden-f%C3%B8les-i-munden</w:t>
        </w:r>
      </w:hyperlink>
      <w:r w:rsidRPr="005D6DCF">
        <w:rPr>
          <w:sz w:val="18"/>
          <w:szCs w:val="18"/>
          <w:lang w:val="en-US"/>
        </w:rPr>
        <w:t xml:space="preserve"> </w:t>
      </w:r>
    </w:p>
  </w:footnote>
  <w:footnote w:id="62">
    <w:p w:rsidR="00045970" w:rsidRPr="00EF1964" w:rsidRDefault="00045970" w:rsidP="00045970">
      <w:pPr>
        <w:pStyle w:val="Fodnotetekst"/>
        <w:ind w:left="0"/>
        <w:jc w:val="both"/>
        <w:rPr>
          <w:sz w:val="18"/>
          <w:szCs w:val="18"/>
          <w:lang w:val="en-US"/>
        </w:rPr>
      </w:pPr>
      <w:r w:rsidRPr="00045970">
        <w:rPr>
          <w:rStyle w:val="Fodnotehenvisning"/>
          <w:sz w:val="18"/>
          <w:szCs w:val="18"/>
        </w:rPr>
        <w:footnoteRef/>
      </w:r>
      <w:r w:rsidRPr="00045970">
        <w:rPr>
          <w:sz w:val="18"/>
          <w:szCs w:val="18"/>
          <w:lang w:val="da-DK"/>
        </w:rPr>
        <w:t xml:space="preserve"> Smag for Livet.</w:t>
      </w:r>
      <w:r w:rsidRPr="00045970">
        <w:rPr>
          <w:rFonts w:cs="Georgia"/>
          <w:i/>
          <w:color w:val="5A5A5A"/>
          <w:sz w:val="18"/>
          <w:szCs w:val="18"/>
          <w:lang w:val="da-DK"/>
        </w:rPr>
        <w:t xml:space="preserve"> Smag i alle fag. </w:t>
      </w:r>
      <w:proofErr w:type="gramStart"/>
      <w:r w:rsidRPr="00EF1964">
        <w:rPr>
          <w:rFonts w:cs="Georgia"/>
          <w:color w:val="5A5A5A"/>
          <w:sz w:val="18"/>
          <w:szCs w:val="18"/>
          <w:lang w:val="en-US"/>
        </w:rPr>
        <w:t xml:space="preserve">Accessed on </w:t>
      </w:r>
      <w:r w:rsidR="00EF1964" w:rsidRPr="00EF1964">
        <w:rPr>
          <w:rFonts w:cs="Georgia"/>
          <w:color w:val="5A5A5A"/>
          <w:sz w:val="18"/>
          <w:szCs w:val="18"/>
          <w:lang w:val="en-US"/>
        </w:rPr>
        <w:t>December 14th</w:t>
      </w:r>
      <w:r w:rsidRPr="00EF1964">
        <w:rPr>
          <w:rFonts w:cs="Georgia"/>
          <w:color w:val="5A5A5A"/>
          <w:sz w:val="18"/>
          <w:szCs w:val="18"/>
          <w:lang w:val="en-US"/>
        </w:rPr>
        <w:t xml:space="preserve"> 2017: </w:t>
      </w:r>
      <w:hyperlink r:id="rId4" w:history="1">
        <w:r w:rsidRPr="00045970">
          <w:rPr>
            <w:rStyle w:val="Hyperlink"/>
            <w:rFonts w:cs="Georgia"/>
            <w:sz w:val="18"/>
            <w:szCs w:val="18"/>
            <w:lang w:val="en-US"/>
          </w:rPr>
          <w:t>http://www.smagforlivet.dk/sites/defaul</w:t>
        </w:r>
        <w:bookmarkStart w:id="0" w:name="_GoBack"/>
        <w:bookmarkEnd w:id="0"/>
        <w:r w:rsidRPr="00045970">
          <w:rPr>
            <w:rStyle w:val="Hyperlink"/>
            <w:rFonts w:cs="Georgia"/>
            <w:sz w:val="18"/>
            <w:szCs w:val="18"/>
            <w:lang w:val="en-US"/>
          </w:rPr>
          <w:t>t/files/documents/Smag%20i%20alle%20fag.pdf</w:t>
        </w:r>
      </w:hyperlink>
      <w:r w:rsidRPr="00045970">
        <w:rPr>
          <w:rFonts w:cs="Georgia"/>
          <w:color w:val="5A5A5A"/>
          <w:sz w:val="18"/>
          <w:szCs w:val="18"/>
          <w:lang w:val="en-US"/>
        </w:rPr>
        <w:t xml:space="preserve"> .</w:t>
      </w:r>
      <w:proofErr w:type="gramEnd"/>
      <w:r w:rsidRPr="00045970">
        <w:rPr>
          <w:rFonts w:cs="Georgia"/>
          <w:color w:val="5A5A5A"/>
          <w:sz w:val="18"/>
          <w:szCs w:val="18"/>
          <w:lang w:val="en-US"/>
        </w:rPr>
        <w:t xml:space="preserve">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da-DK"/>
      </w:rPr>
      <w:alias w:val="Title"/>
      <w:id w:val="77547040"/>
      <w:placeholder>
        <w:docPart w:val="E89F7D3775504953BB03FFC9062623E2"/>
      </w:placeholder>
      <w:dataBinding w:prefixMappings="xmlns:ns0='http://schemas.openxmlformats.org/package/2006/metadata/core-properties' xmlns:ns1='http://purl.org/dc/elements/1.1/'" w:xpath="/ns0:coreProperties[1]/ns1:title[1]" w:storeItemID="{6C3C8BC8-F283-45AE-878A-BAB7291924A1}"/>
      <w:text/>
    </w:sdtPr>
    <w:sdtEndPr/>
    <w:sdtContent>
      <w:p w:rsidR="00C71F8E" w:rsidRPr="00051B1D" w:rsidRDefault="00C71F8E">
        <w:pPr>
          <w:pStyle w:val="Sidehoved"/>
          <w:pBdr>
            <w:between w:val="single" w:sz="4" w:space="1" w:color="4F81BD" w:themeColor="accent1"/>
          </w:pBdr>
          <w:spacing w:line="276" w:lineRule="auto"/>
          <w:jc w:val="center"/>
          <w:rPr>
            <w:lang w:val="da-DK"/>
          </w:rPr>
        </w:pPr>
        <w:r w:rsidRPr="00051B1D">
          <w:rPr>
            <w:lang w:val="da-DK"/>
          </w:rPr>
          <w:t>Studier i pædagogisk filosofi</w:t>
        </w:r>
      </w:p>
    </w:sdtContent>
  </w:sdt>
  <w:sdt>
    <w:sdtPr>
      <w:rPr>
        <w:lang w:val="da-DK"/>
      </w:rPr>
      <w:alias w:val="Date"/>
      <w:id w:val="77547044"/>
      <w:placeholder>
        <w:docPart w:val="3DFDED1A897D467CAE87A3EEE98D8B04"/>
      </w:placeholder>
      <w:dataBinding w:prefixMappings="xmlns:ns0='http://schemas.microsoft.com/office/2006/coverPageProps'" w:xpath="/ns0:CoverPageProperties[1]/ns0:PublishDate[1]" w:storeItemID="{55AF091B-3C7A-41E3-B477-F2FDAA23CFDA}"/>
      <w:date w:fullDate="2017-12-14T00:00:00Z">
        <w:dateFormat w:val="MMMM d, yyyy"/>
        <w:lid w:val="en-US"/>
        <w:storeMappedDataAs w:val="dateTime"/>
        <w:calendar w:val="gregorian"/>
      </w:date>
    </w:sdtPr>
    <w:sdtEndPr/>
    <w:sdtContent>
      <w:p w:rsidR="00C71F8E" w:rsidRPr="00051B1D" w:rsidRDefault="00E33EC4">
        <w:pPr>
          <w:pStyle w:val="Sidehoved"/>
          <w:pBdr>
            <w:between w:val="single" w:sz="4" w:space="1" w:color="4F81BD" w:themeColor="accent1"/>
          </w:pBdr>
          <w:spacing w:line="276" w:lineRule="auto"/>
          <w:jc w:val="center"/>
          <w:rPr>
            <w:lang w:val="da-DK"/>
          </w:rPr>
        </w:pPr>
        <w:r w:rsidRPr="00E33EC4">
          <w:rPr>
            <w:lang w:val="da-DK"/>
          </w:rPr>
          <w:t>December 14, 2017</w:t>
        </w:r>
      </w:p>
    </w:sdtContent>
  </w:sdt>
  <w:p w:rsidR="00C71F8E" w:rsidRPr="00051B1D" w:rsidRDefault="00C71F8E">
    <w:pPr>
      <w:pStyle w:val="Sidehoved"/>
      <w:rPr>
        <w:lang w:val="da-D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C269F"/>
    <w:multiLevelType w:val="hybridMultilevel"/>
    <w:tmpl w:val="B0D440A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2B824F04"/>
    <w:multiLevelType w:val="multilevel"/>
    <w:tmpl w:val="46E65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98A"/>
    <w:rsid w:val="000013D5"/>
    <w:rsid w:val="0000305A"/>
    <w:rsid w:val="00004A66"/>
    <w:rsid w:val="00004B14"/>
    <w:rsid w:val="0000543E"/>
    <w:rsid w:val="00005502"/>
    <w:rsid w:val="00007A60"/>
    <w:rsid w:val="00007D21"/>
    <w:rsid w:val="0001247B"/>
    <w:rsid w:val="00017D7C"/>
    <w:rsid w:val="000201BF"/>
    <w:rsid w:val="000203B5"/>
    <w:rsid w:val="00022753"/>
    <w:rsid w:val="0002289A"/>
    <w:rsid w:val="00022908"/>
    <w:rsid w:val="000278BE"/>
    <w:rsid w:val="00030323"/>
    <w:rsid w:val="0003044C"/>
    <w:rsid w:val="00031720"/>
    <w:rsid w:val="00032273"/>
    <w:rsid w:val="00034A67"/>
    <w:rsid w:val="000355BE"/>
    <w:rsid w:val="0003736A"/>
    <w:rsid w:val="00037C94"/>
    <w:rsid w:val="000405B4"/>
    <w:rsid w:val="00041D86"/>
    <w:rsid w:val="00041E3C"/>
    <w:rsid w:val="00042227"/>
    <w:rsid w:val="000438BB"/>
    <w:rsid w:val="00043934"/>
    <w:rsid w:val="00043AC0"/>
    <w:rsid w:val="0004477F"/>
    <w:rsid w:val="00045970"/>
    <w:rsid w:val="00047C85"/>
    <w:rsid w:val="00050739"/>
    <w:rsid w:val="00051771"/>
    <w:rsid w:val="00051B1D"/>
    <w:rsid w:val="000537B1"/>
    <w:rsid w:val="00054DBC"/>
    <w:rsid w:val="0005550D"/>
    <w:rsid w:val="00057837"/>
    <w:rsid w:val="00060FAB"/>
    <w:rsid w:val="000641C3"/>
    <w:rsid w:val="000656C7"/>
    <w:rsid w:val="00070474"/>
    <w:rsid w:val="00070DD2"/>
    <w:rsid w:val="000719B8"/>
    <w:rsid w:val="00074357"/>
    <w:rsid w:val="00076D0E"/>
    <w:rsid w:val="0007766C"/>
    <w:rsid w:val="00080576"/>
    <w:rsid w:val="00083328"/>
    <w:rsid w:val="00083CA4"/>
    <w:rsid w:val="00084090"/>
    <w:rsid w:val="00084106"/>
    <w:rsid w:val="000860DD"/>
    <w:rsid w:val="00086F8B"/>
    <w:rsid w:val="00087DA8"/>
    <w:rsid w:val="00090515"/>
    <w:rsid w:val="00091280"/>
    <w:rsid w:val="0009216F"/>
    <w:rsid w:val="0009591B"/>
    <w:rsid w:val="0009600A"/>
    <w:rsid w:val="00096A77"/>
    <w:rsid w:val="000A02B6"/>
    <w:rsid w:val="000A03A5"/>
    <w:rsid w:val="000A0E64"/>
    <w:rsid w:val="000A1194"/>
    <w:rsid w:val="000A1C8D"/>
    <w:rsid w:val="000A3955"/>
    <w:rsid w:val="000A49CA"/>
    <w:rsid w:val="000A54FD"/>
    <w:rsid w:val="000A6590"/>
    <w:rsid w:val="000B1163"/>
    <w:rsid w:val="000B1779"/>
    <w:rsid w:val="000B3442"/>
    <w:rsid w:val="000B4540"/>
    <w:rsid w:val="000B487B"/>
    <w:rsid w:val="000B6C5C"/>
    <w:rsid w:val="000B7133"/>
    <w:rsid w:val="000B79F5"/>
    <w:rsid w:val="000C17CD"/>
    <w:rsid w:val="000C20F2"/>
    <w:rsid w:val="000C46FC"/>
    <w:rsid w:val="000C595F"/>
    <w:rsid w:val="000C6373"/>
    <w:rsid w:val="000D04CB"/>
    <w:rsid w:val="000D09E8"/>
    <w:rsid w:val="000D0E13"/>
    <w:rsid w:val="000D1548"/>
    <w:rsid w:val="000D1E87"/>
    <w:rsid w:val="000D300D"/>
    <w:rsid w:val="000D37DB"/>
    <w:rsid w:val="000D4DE2"/>
    <w:rsid w:val="000D5C33"/>
    <w:rsid w:val="000D5FFB"/>
    <w:rsid w:val="000D7161"/>
    <w:rsid w:val="000E086C"/>
    <w:rsid w:val="000E1070"/>
    <w:rsid w:val="000E2145"/>
    <w:rsid w:val="000E38F1"/>
    <w:rsid w:val="000E3C1C"/>
    <w:rsid w:val="000E6E7F"/>
    <w:rsid w:val="000F0CDA"/>
    <w:rsid w:val="000F0DC4"/>
    <w:rsid w:val="000F1EA2"/>
    <w:rsid w:val="000F2860"/>
    <w:rsid w:val="000F30A2"/>
    <w:rsid w:val="000F769D"/>
    <w:rsid w:val="00100514"/>
    <w:rsid w:val="00101AC8"/>
    <w:rsid w:val="0010277D"/>
    <w:rsid w:val="0010293F"/>
    <w:rsid w:val="001029F4"/>
    <w:rsid w:val="00105027"/>
    <w:rsid w:val="00107064"/>
    <w:rsid w:val="0011068A"/>
    <w:rsid w:val="00111AC7"/>
    <w:rsid w:val="001120EE"/>
    <w:rsid w:val="00114619"/>
    <w:rsid w:val="0011564C"/>
    <w:rsid w:val="0011747D"/>
    <w:rsid w:val="00122480"/>
    <w:rsid w:val="00123A61"/>
    <w:rsid w:val="00125832"/>
    <w:rsid w:val="00126758"/>
    <w:rsid w:val="00131D44"/>
    <w:rsid w:val="00132225"/>
    <w:rsid w:val="001323D0"/>
    <w:rsid w:val="00133663"/>
    <w:rsid w:val="00135D6E"/>
    <w:rsid w:val="00137BC4"/>
    <w:rsid w:val="001411EB"/>
    <w:rsid w:val="00143556"/>
    <w:rsid w:val="001440FB"/>
    <w:rsid w:val="001444AE"/>
    <w:rsid w:val="00146162"/>
    <w:rsid w:val="001504CB"/>
    <w:rsid w:val="0015074A"/>
    <w:rsid w:val="0015175A"/>
    <w:rsid w:val="00151E35"/>
    <w:rsid w:val="001523B7"/>
    <w:rsid w:val="00152674"/>
    <w:rsid w:val="0015547E"/>
    <w:rsid w:val="001565E0"/>
    <w:rsid w:val="0015679C"/>
    <w:rsid w:val="00157438"/>
    <w:rsid w:val="001602C4"/>
    <w:rsid w:val="001623FD"/>
    <w:rsid w:val="001645DA"/>
    <w:rsid w:val="0016476D"/>
    <w:rsid w:val="00164816"/>
    <w:rsid w:val="00166A50"/>
    <w:rsid w:val="00166A5B"/>
    <w:rsid w:val="00166C2B"/>
    <w:rsid w:val="00170C10"/>
    <w:rsid w:val="001717FF"/>
    <w:rsid w:val="001724DB"/>
    <w:rsid w:val="00173A72"/>
    <w:rsid w:val="00174361"/>
    <w:rsid w:val="00174E8C"/>
    <w:rsid w:val="00175452"/>
    <w:rsid w:val="00175D66"/>
    <w:rsid w:val="00176991"/>
    <w:rsid w:val="00176E9F"/>
    <w:rsid w:val="00177AEC"/>
    <w:rsid w:val="00180A2E"/>
    <w:rsid w:val="00182222"/>
    <w:rsid w:val="00183722"/>
    <w:rsid w:val="001872BF"/>
    <w:rsid w:val="00187364"/>
    <w:rsid w:val="00187723"/>
    <w:rsid w:val="00187B7D"/>
    <w:rsid w:val="00190A2F"/>
    <w:rsid w:val="00190C30"/>
    <w:rsid w:val="00191724"/>
    <w:rsid w:val="00191CC5"/>
    <w:rsid w:val="00194436"/>
    <w:rsid w:val="00194968"/>
    <w:rsid w:val="00194C75"/>
    <w:rsid w:val="001950A7"/>
    <w:rsid w:val="001A0210"/>
    <w:rsid w:val="001A12B2"/>
    <w:rsid w:val="001A30F7"/>
    <w:rsid w:val="001A3C40"/>
    <w:rsid w:val="001A668F"/>
    <w:rsid w:val="001A7048"/>
    <w:rsid w:val="001A7232"/>
    <w:rsid w:val="001A76C7"/>
    <w:rsid w:val="001B08E1"/>
    <w:rsid w:val="001B68DE"/>
    <w:rsid w:val="001C02CE"/>
    <w:rsid w:val="001C095E"/>
    <w:rsid w:val="001C1058"/>
    <w:rsid w:val="001C3553"/>
    <w:rsid w:val="001C3F4A"/>
    <w:rsid w:val="001D14F8"/>
    <w:rsid w:val="001D3710"/>
    <w:rsid w:val="001D3FB1"/>
    <w:rsid w:val="001D3FC0"/>
    <w:rsid w:val="001D4F54"/>
    <w:rsid w:val="001D54EB"/>
    <w:rsid w:val="001D73E7"/>
    <w:rsid w:val="001E0EA1"/>
    <w:rsid w:val="001E1F5B"/>
    <w:rsid w:val="001E48D2"/>
    <w:rsid w:val="001F21DD"/>
    <w:rsid w:val="001F2265"/>
    <w:rsid w:val="001F46CC"/>
    <w:rsid w:val="001F4D2C"/>
    <w:rsid w:val="001F6120"/>
    <w:rsid w:val="001F7258"/>
    <w:rsid w:val="001F7935"/>
    <w:rsid w:val="00202B8C"/>
    <w:rsid w:val="00203085"/>
    <w:rsid w:val="00203DD1"/>
    <w:rsid w:val="002104E9"/>
    <w:rsid w:val="00210941"/>
    <w:rsid w:val="00211476"/>
    <w:rsid w:val="00212339"/>
    <w:rsid w:val="002202F0"/>
    <w:rsid w:val="00220657"/>
    <w:rsid w:val="002208E6"/>
    <w:rsid w:val="00220F67"/>
    <w:rsid w:val="002210B9"/>
    <w:rsid w:val="00222014"/>
    <w:rsid w:val="00222B8D"/>
    <w:rsid w:val="00222F9E"/>
    <w:rsid w:val="00223613"/>
    <w:rsid w:val="00224D36"/>
    <w:rsid w:val="0023006D"/>
    <w:rsid w:val="00230700"/>
    <w:rsid w:val="00231500"/>
    <w:rsid w:val="002328B2"/>
    <w:rsid w:val="00232912"/>
    <w:rsid w:val="0023458A"/>
    <w:rsid w:val="00235023"/>
    <w:rsid w:val="0023525E"/>
    <w:rsid w:val="00236ED4"/>
    <w:rsid w:val="00240240"/>
    <w:rsid w:val="002418B0"/>
    <w:rsid w:val="00243416"/>
    <w:rsid w:val="00244650"/>
    <w:rsid w:val="00244CF2"/>
    <w:rsid w:val="002457F9"/>
    <w:rsid w:val="0024585F"/>
    <w:rsid w:val="00245BD1"/>
    <w:rsid w:val="00247D94"/>
    <w:rsid w:val="00252F8B"/>
    <w:rsid w:val="00257CF6"/>
    <w:rsid w:val="00262DC7"/>
    <w:rsid w:val="00265BB5"/>
    <w:rsid w:val="002701B5"/>
    <w:rsid w:val="00271039"/>
    <w:rsid w:val="00271CE6"/>
    <w:rsid w:val="00273686"/>
    <w:rsid w:val="002740B5"/>
    <w:rsid w:val="00281BB3"/>
    <w:rsid w:val="002858FA"/>
    <w:rsid w:val="0029038D"/>
    <w:rsid w:val="00290C44"/>
    <w:rsid w:val="00291764"/>
    <w:rsid w:val="00292150"/>
    <w:rsid w:val="002942DB"/>
    <w:rsid w:val="002A072A"/>
    <w:rsid w:val="002A1E91"/>
    <w:rsid w:val="002A1F0A"/>
    <w:rsid w:val="002A2A72"/>
    <w:rsid w:val="002A2FEB"/>
    <w:rsid w:val="002A40F4"/>
    <w:rsid w:val="002A450D"/>
    <w:rsid w:val="002A4C4D"/>
    <w:rsid w:val="002A6BC8"/>
    <w:rsid w:val="002A7BC5"/>
    <w:rsid w:val="002B0681"/>
    <w:rsid w:val="002B0715"/>
    <w:rsid w:val="002B0BAA"/>
    <w:rsid w:val="002B138B"/>
    <w:rsid w:val="002B4B86"/>
    <w:rsid w:val="002B4FC3"/>
    <w:rsid w:val="002B7004"/>
    <w:rsid w:val="002B7512"/>
    <w:rsid w:val="002B78A9"/>
    <w:rsid w:val="002B7932"/>
    <w:rsid w:val="002C337F"/>
    <w:rsid w:val="002C4603"/>
    <w:rsid w:val="002C53A6"/>
    <w:rsid w:val="002C7B12"/>
    <w:rsid w:val="002C7CCC"/>
    <w:rsid w:val="002D1853"/>
    <w:rsid w:val="002D3D7F"/>
    <w:rsid w:val="002D5020"/>
    <w:rsid w:val="002D543D"/>
    <w:rsid w:val="002D6F60"/>
    <w:rsid w:val="002D6FF2"/>
    <w:rsid w:val="002E12CF"/>
    <w:rsid w:val="002E1F29"/>
    <w:rsid w:val="002E5F85"/>
    <w:rsid w:val="002E64FE"/>
    <w:rsid w:val="002E7269"/>
    <w:rsid w:val="002F12D6"/>
    <w:rsid w:val="002F1EB6"/>
    <w:rsid w:val="002F42AC"/>
    <w:rsid w:val="002F48AA"/>
    <w:rsid w:val="002F5715"/>
    <w:rsid w:val="002F5912"/>
    <w:rsid w:val="00301F05"/>
    <w:rsid w:val="003023AF"/>
    <w:rsid w:val="00307A64"/>
    <w:rsid w:val="003101B8"/>
    <w:rsid w:val="00313ECB"/>
    <w:rsid w:val="003151F7"/>
    <w:rsid w:val="00316953"/>
    <w:rsid w:val="00324E34"/>
    <w:rsid w:val="0032522A"/>
    <w:rsid w:val="00325718"/>
    <w:rsid w:val="0032722D"/>
    <w:rsid w:val="003275F6"/>
    <w:rsid w:val="00327DD0"/>
    <w:rsid w:val="0033016A"/>
    <w:rsid w:val="003305D0"/>
    <w:rsid w:val="003307C2"/>
    <w:rsid w:val="003333E0"/>
    <w:rsid w:val="00333FCC"/>
    <w:rsid w:val="00340DA1"/>
    <w:rsid w:val="00341E7D"/>
    <w:rsid w:val="003432D3"/>
    <w:rsid w:val="00345153"/>
    <w:rsid w:val="00347479"/>
    <w:rsid w:val="003524FB"/>
    <w:rsid w:val="00354C28"/>
    <w:rsid w:val="00362989"/>
    <w:rsid w:val="00363BD3"/>
    <w:rsid w:val="0036403A"/>
    <w:rsid w:val="00364DF2"/>
    <w:rsid w:val="00365515"/>
    <w:rsid w:val="00365942"/>
    <w:rsid w:val="003731E0"/>
    <w:rsid w:val="00373A22"/>
    <w:rsid w:val="00375029"/>
    <w:rsid w:val="00384FE1"/>
    <w:rsid w:val="00385F42"/>
    <w:rsid w:val="0038691A"/>
    <w:rsid w:val="00395CBC"/>
    <w:rsid w:val="003A0094"/>
    <w:rsid w:val="003A4BD4"/>
    <w:rsid w:val="003A5196"/>
    <w:rsid w:val="003A5BC8"/>
    <w:rsid w:val="003A6312"/>
    <w:rsid w:val="003A68E3"/>
    <w:rsid w:val="003B0B33"/>
    <w:rsid w:val="003B0D20"/>
    <w:rsid w:val="003B670E"/>
    <w:rsid w:val="003B7796"/>
    <w:rsid w:val="003B7966"/>
    <w:rsid w:val="003C2115"/>
    <w:rsid w:val="003C4028"/>
    <w:rsid w:val="003C4462"/>
    <w:rsid w:val="003C5F8D"/>
    <w:rsid w:val="003C69E2"/>
    <w:rsid w:val="003C75F9"/>
    <w:rsid w:val="003D0E08"/>
    <w:rsid w:val="003D1EB5"/>
    <w:rsid w:val="003D24C8"/>
    <w:rsid w:val="003D251F"/>
    <w:rsid w:val="003D36E2"/>
    <w:rsid w:val="003E1F55"/>
    <w:rsid w:val="003E2D53"/>
    <w:rsid w:val="003E45E6"/>
    <w:rsid w:val="003E6762"/>
    <w:rsid w:val="003E6782"/>
    <w:rsid w:val="003E7A47"/>
    <w:rsid w:val="003F0085"/>
    <w:rsid w:val="003F1718"/>
    <w:rsid w:val="003F1A65"/>
    <w:rsid w:val="003F252C"/>
    <w:rsid w:val="003F2CC7"/>
    <w:rsid w:val="003F3A55"/>
    <w:rsid w:val="003F3F77"/>
    <w:rsid w:val="00401224"/>
    <w:rsid w:val="004017C2"/>
    <w:rsid w:val="00401921"/>
    <w:rsid w:val="00401B09"/>
    <w:rsid w:val="00401E0B"/>
    <w:rsid w:val="004043A0"/>
    <w:rsid w:val="0040546B"/>
    <w:rsid w:val="00406E4C"/>
    <w:rsid w:val="0041097E"/>
    <w:rsid w:val="004117A3"/>
    <w:rsid w:val="00413F31"/>
    <w:rsid w:val="004156DA"/>
    <w:rsid w:val="00415F7A"/>
    <w:rsid w:val="004171C8"/>
    <w:rsid w:val="00417F85"/>
    <w:rsid w:val="00420F3B"/>
    <w:rsid w:val="0042470C"/>
    <w:rsid w:val="00424A25"/>
    <w:rsid w:val="0042735F"/>
    <w:rsid w:val="004302FA"/>
    <w:rsid w:val="00430A53"/>
    <w:rsid w:val="00430B82"/>
    <w:rsid w:val="00432819"/>
    <w:rsid w:val="004342B3"/>
    <w:rsid w:val="00437AA1"/>
    <w:rsid w:val="0044059F"/>
    <w:rsid w:val="0044152C"/>
    <w:rsid w:val="00441DD8"/>
    <w:rsid w:val="00442696"/>
    <w:rsid w:val="00444389"/>
    <w:rsid w:val="00446588"/>
    <w:rsid w:val="00452961"/>
    <w:rsid w:val="00452CB0"/>
    <w:rsid w:val="00457651"/>
    <w:rsid w:val="00457B13"/>
    <w:rsid w:val="00457D06"/>
    <w:rsid w:val="00461009"/>
    <w:rsid w:val="00461042"/>
    <w:rsid w:val="00461878"/>
    <w:rsid w:val="00461CB7"/>
    <w:rsid w:val="004636EC"/>
    <w:rsid w:val="00465C25"/>
    <w:rsid w:val="00466532"/>
    <w:rsid w:val="00466835"/>
    <w:rsid w:val="00470E84"/>
    <w:rsid w:val="004720EC"/>
    <w:rsid w:val="00472462"/>
    <w:rsid w:val="00473548"/>
    <w:rsid w:val="00473B8E"/>
    <w:rsid w:val="00473C8A"/>
    <w:rsid w:val="00474824"/>
    <w:rsid w:val="004749E4"/>
    <w:rsid w:val="00475586"/>
    <w:rsid w:val="004774BE"/>
    <w:rsid w:val="004807C6"/>
    <w:rsid w:val="0048154E"/>
    <w:rsid w:val="0048278B"/>
    <w:rsid w:val="004845D7"/>
    <w:rsid w:val="0048796B"/>
    <w:rsid w:val="004901FC"/>
    <w:rsid w:val="00492097"/>
    <w:rsid w:val="004924AF"/>
    <w:rsid w:val="004958A8"/>
    <w:rsid w:val="004A14C4"/>
    <w:rsid w:val="004A33C4"/>
    <w:rsid w:val="004A3BEA"/>
    <w:rsid w:val="004A5C35"/>
    <w:rsid w:val="004A5F6D"/>
    <w:rsid w:val="004A638E"/>
    <w:rsid w:val="004A6442"/>
    <w:rsid w:val="004A7921"/>
    <w:rsid w:val="004B089F"/>
    <w:rsid w:val="004B3671"/>
    <w:rsid w:val="004B41EB"/>
    <w:rsid w:val="004B53E1"/>
    <w:rsid w:val="004B6116"/>
    <w:rsid w:val="004B7531"/>
    <w:rsid w:val="004B7750"/>
    <w:rsid w:val="004C12F1"/>
    <w:rsid w:val="004C6C4D"/>
    <w:rsid w:val="004D0B74"/>
    <w:rsid w:val="004D2E55"/>
    <w:rsid w:val="004D5101"/>
    <w:rsid w:val="004D593D"/>
    <w:rsid w:val="004D606F"/>
    <w:rsid w:val="004D6457"/>
    <w:rsid w:val="004D7066"/>
    <w:rsid w:val="004D7592"/>
    <w:rsid w:val="004E4ED7"/>
    <w:rsid w:val="004E5C7B"/>
    <w:rsid w:val="004E5F3E"/>
    <w:rsid w:val="004E65DA"/>
    <w:rsid w:val="004F050C"/>
    <w:rsid w:val="004F2C56"/>
    <w:rsid w:val="004F308C"/>
    <w:rsid w:val="004F3423"/>
    <w:rsid w:val="004F37FD"/>
    <w:rsid w:val="004F3D7A"/>
    <w:rsid w:val="004F448B"/>
    <w:rsid w:val="004F5F1B"/>
    <w:rsid w:val="004F68CE"/>
    <w:rsid w:val="005001B4"/>
    <w:rsid w:val="005024E6"/>
    <w:rsid w:val="005024EB"/>
    <w:rsid w:val="0050337C"/>
    <w:rsid w:val="005045B8"/>
    <w:rsid w:val="005057DB"/>
    <w:rsid w:val="00507EB3"/>
    <w:rsid w:val="00510245"/>
    <w:rsid w:val="005108EC"/>
    <w:rsid w:val="005118BC"/>
    <w:rsid w:val="00512000"/>
    <w:rsid w:val="00513E6E"/>
    <w:rsid w:val="00514575"/>
    <w:rsid w:val="005235E3"/>
    <w:rsid w:val="0052368F"/>
    <w:rsid w:val="00524922"/>
    <w:rsid w:val="00524C3F"/>
    <w:rsid w:val="00525F1D"/>
    <w:rsid w:val="005272E8"/>
    <w:rsid w:val="00527E5E"/>
    <w:rsid w:val="0053056A"/>
    <w:rsid w:val="00531411"/>
    <w:rsid w:val="00533CC9"/>
    <w:rsid w:val="00534C21"/>
    <w:rsid w:val="00535CAE"/>
    <w:rsid w:val="00536DAE"/>
    <w:rsid w:val="00537A0F"/>
    <w:rsid w:val="005400DD"/>
    <w:rsid w:val="0054095A"/>
    <w:rsid w:val="00542EDA"/>
    <w:rsid w:val="005548CC"/>
    <w:rsid w:val="0055589F"/>
    <w:rsid w:val="00556B50"/>
    <w:rsid w:val="0056116B"/>
    <w:rsid w:val="00564B3D"/>
    <w:rsid w:val="00566D36"/>
    <w:rsid w:val="00570BD9"/>
    <w:rsid w:val="00571A9C"/>
    <w:rsid w:val="00571CD9"/>
    <w:rsid w:val="00573798"/>
    <w:rsid w:val="00575728"/>
    <w:rsid w:val="005757EC"/>
    <w:rsid w:val="005771D8"/>
    <w:rsid w:val="00577A8B"/>
    <w:rsid w:val="0058013A"/>
    <w:rsid w:val="00581EEB"/>
    <w:rsid w:val="0058292C"/>
    <w:rsid w:val="0058328E"/>
    <w:rsid w:val="005840B9"/>
    <w:rsid w:val="005842A3"/>
    <w:rsid w:val="00590905"/>
    <w:rsid w:val="0059322A"/>
    <w:rsid w:val="00597A9B"/>
    <w:rsid w:val="00597B3F"/>
    <w:rsid w:val="005A03BB"/>
    <w:rsid w:val="005A18C9"/>
    <w:rsid w:val="005A220C"/>
    <w:rsid w:val="005A30B3"/>
    <w:rsid w:val="005A403D"/>
    <w:rsid w:val="005A4BDC"/>
    <w:rsid w:val="005A5491"/>
    <w:rsid w:val="005B4BD2"/>
    <w:rsid w:val="005C0F7B"/>
    <w:rsid w:val="005C152B"/>
    <w:rsid w:val="005C2A5B"/>
    <w:rsid w:val="005C2CC7"/>
    <w:rsid w:val="005C321E"/>
    <w:rsid w:val="005C3D67"/>
    <w:rsid w:val="005C4F83"/>
    <w:rsid w:val="005C5504"/>
    <w:rsid w:val="005C5B64"/>
    <w:rsid w:val="005C5E42"/>
    <w:rsid w:val="005C7610"/>
    <w:rsid w:val="005C7664"/>
    <w:rsid w:val="005C782B"/>
    <w:rsid w:val="005D3D86"/>
    <w:rsid w:val="005D4033"/>
    <w:rsid w:val="005D4213"/>
    <w:rsid w:val="005D4318"/>
    <w:rsid w:val="005D6DCF"/>
    <w:rsid w:val="005E2374"/>
    <w:rsid w:val="005E3F13"/>
    <w:rsid w:val="005E4A99"/>
    <w:rsid w:val="005E6478"/>
    <w:rsid w:val="005E6A9F"/>
    <w:rsid w:val="005F1558"/>
    <w:rsid w:val="005F304C"/>
    <w:rsid w:val="005F3134"/>
    <w:rsid w:val="005F428F"/>
    <w:rsid w:val="005F5781"/>
    <w:rsid w:val="005F5DD4"/>
    <w:rsid w:val="005F73CB"/>
    <w:rsid w:val="005F7727"/>
    <w:rsid w:val="0060200D"/>
    <w:rsid w:val="006021BB"/>
    <w:rsid w:val="00603A42"/>
    <w:rsid w:val="006075AF"/>
    <w:rsid w:val="00610EE4"/>
    <w:rsid w:val="00611EBD"/>
    <w:rsid w:val="00612149"/>
    <w:rsid w:val="00612BC1"/>
    <w:rsid w:val="0061310C"/>
    <w:rsid w:val="00616221"/>
    <w:rsid w:val="006166C3"/>
    <w:rsid w:val="00616728"/>
    <w:rsid w:val="006171C2"/>
    <w:rsid w:val="00620824"/>
    <w:rsid w:val="006219DD"/>
    <w:rsid w:val="00622D9A"/>
    <w:rsid w:val="00623952"/>
    <w:rsid w:val="0062445E"/>
    <w:rsid w:val="00625B2F"/>
    <w:rsid w:val="006265BB"/>
    <w:rsid w:val="006309B4"/>
    <w:rsid w:val="00631DA3"/>
    <w:rsid w:val="006321CC"/>
    <w:rsid w:val="00632BCA"/>
    <w:rsid w:val="00633610"/>
    <w:rsid w:val="006341C2"/>
    <w:rsid w:val="00635BF3"/>
    <w:rsid w:val="00636121"/>
    <w:rsid w:val="00636FBB"/>
    <w:rsid w:val="00641729"/>
    <w:rsid w:val="00641CB8"/>
    <w:rsid w:val="00641E40"/>
    <w:rsid w:val="00643B2E"/>
    <w:rsid w:val="00644D03"/>
    <w:rsid w:val="006454DB"/>
    <w:rsid w:val="00645CA0"/>
    <w:rsid w:val="00646B7F"/>
    <w:rsid w:val="00650BBA"/>
    <w:rsid w:val="00651271"/>
    <w:rsid w:val="00651584"/>
    <w:rsid w:val="0065349E"/>
    <w:rsid w:val="00653A71"/>
    <w:rsid w:val="00653E5A"/>
    <w:rsid w:val="00654DB3"/>
    <w:rsid w:val="00660894"/>
    <w:rsid w:val="00660EEF"/>
    <w:rsid w:val="006612D7"/>
    <w:rsid w:val="00661E8A"/>
    <w:rsid w:val="00663369"/>
    <w:rsid w:val="006644A1"/>
    <w:rsid w:val="0066621E"/>
    <w:rsid w:val="00667EA1"/>
    <w:rsid w:val="00670E92"/>
    <w:rsid w:val="00671148"/>
    <w:rsid w:val="006716EC"/>
    <w:rsid w:val="00672589"/>
    <w:rsid w:val="00673276"/>
    <w:rsid w:val="00673E3B"/>
    <w:rsid w:val="00682319"/>
    <w:rsid w:val="00683857"/>
    <w:rsid w:val="006839B5"/>
    <w:rsid w:val="00685053"/>
    <w:rsid w:val="00685CD0"/>
    <w:rsid w:val="00686362"/>
    <w:rsid w:val="00687019"/>
    <w:rsid w:val="00693022"/>
    <w:rsid w:val="00695D45"/>
    <w:rsid w:val="00696B93"/>
    <w:rsid w:val="006A0688"/>
    <w:rsid w:val="006A09F7"/>
    <w:rsid w:val="006A0EFA"/>
    <w:rsid w:val="006A1830"/>
    <w:rsid w:val="006A351B"/>
    <w:rsid w:val="006A3EBB"/>
    <w:rsid w:val="006A46A0"/>
    <w:rsid w:val="006A6159"/>
    <w:rsid w:val="006B3262"/>
    <w:rsid w:val="006B3665"/>
    <w:rsid w:val="006B4A13"/>
    <w:rsid w:val="006C03FC"/>
    <w:rsid w:val="006C1096"/>
    <w:rsid w:val="006C3599"/>
    <w:rsid w:val="006C37F2"/>
    <w:rsid w:val="006C3F5E"/>
    <w:rsid w:val="006C4161"/>
    <w:rsid w:val="006C545A"/>
    <w:rsid w:val="006D3F79"/>
    <w:rsid w:val="006D46A2"/>
    <w:rsid w:val="006D4D91"/>
    <w:rsid w:val="006D519D"/>
    <w:rsid w:val="006D6D5E"/>
    <w:rsid w:val="006D72BE"/>
    <w:rsid w:val="006E177A"/>
    <w:rsid w:val="006E26A1"/>
    <w:rsid w:val="006E2C7D"/>
    <w:rsid w:val="006E322C"/>
    <w:rsid w:val="006E34DE"/>
    <w:rsid w:val="006E4072"/>
    <w:rsid w:val="006E4288"/>
    <w:rsid w:val="006E552F"/>
    <w:rsid w:val="006E5968"/>
    <w:rsid w:val="006E6E94"/>
    <w:rsid w:val="006E7D60"/>
    <w:rsid w:val="006F1FED"/>
    <w:rsid w:val="006F2EBD"/>
    <w:rsid w:val="006F61E7"/>
    <w:rsid w:val="006F648C"/>
    <w:rsid w:val="006F6572"/>
    <w:rsid w:val="006F6A2B"/>
    <w:rsid w:val="00700B1C"/>
    <w:rsid w:val="00702C01"/>
    <w:rsid w:val="00706D5B"/>
    <w:rsid w:val="00711A51"/>
    <w:rsid w:val="00711E73"/>
    <w:rsid w:val="00713BF5"/>
    <w:rsid w:val="00713CF3"/>
    <w:rsid w:val="00714656"/>
    <w:rsid w:val="00715027"/>
    <w:rsid w:val="00715AEA"/>
    <w:rsid w:val="00716512"/>
    <w:rsid w:val="0071695B"/>
    <w:rsid w:val="00717735"/>
    <w:rsid w:val="007222B7"/>
    <w:rsid w:val="007244F3"/>
    <w:rsid w:val="00725469"/>
    <w:rsid w:val="0072583D"/>
    <w:rsid w:val="00727618"/>
    <w:rsid w:val="0072776B"/>
    <w:rsid w:val="00730BAF"/>
    <w:rsid w:val="00730E9B"/>
    <w:rsid w:val="007314D5"/>
    <w:rsid w:val="00734A62"/>
    <w:rsid w:val="00735E91"/>
    <w:rsid w:val="00736435"/>
    <w:rsid w:val="0073725E"/>
    <w:rsid w:val="00747AA3"/>
    <w:rsid w:val="00747C5E"/>
    <w:rsid w:val="00747EC4"/>
    <w:rsid w:val="00750410"/>
    <w:rsid w:val="00750B66"/>
    <w:rsid w:val="00753456"/>
    <w:rsid w:val="00753919"/>
    <w:rsid w:val="00755D56"/>
    <w:rsid w:val="00757DB9"/>
    <w:rsid w:val="00763E9D"/>
    <w:rsid w:val="00764D2A"/>
    <w:rsid w:val="00767030"/>
    <w:rsid w:val="007672B8"/>
    <w:rsid w:val="007675BB"/>
    <w:rsid w:val="00770A87"/>
    <w:rsid w:val="00770F37"/>
    <w:rsid w:val="00775C4F"/>
    <w:rsid w:val="00776CF7"/>
    <w:rsid w:val="00777E52"/>
    <w:rsid w:val="0078033C"/>
    <w:rsid w:val="007805B3"/>
    <w:rsid w:val="00780F2C"/>
    <w:rsid w:val="00784AD6"/>
    <w:rsid w:val="00786D7F"/>
    <w:rsid w:val="00786F00"/>
    <w:rsid w:val="00787538"/>
    <w:rsid w:val="00787B1E"/>
    <w:rsid w:val="00790226"/>
    <w:rsid w:val="007906C7"/>
    <w:rsid w:val="00790D11"/>
    <w:rsid w:val="007923CE"/>
    <w:rsid w:val="007952E5"/>
    <w:rsid w:val="00795543"/>
    <w:rsid w:val="00796EF6"/>
    <w:rsid w:val="007A126C"/>
    <w:rsid w:val="007A2711"/>
    <w:rsid w:val="007A2D82"/>
    <w:rsid w:val="007A468A"/>
    <w:rsid w:val="007A4884"/>
    <w:rsid w:val="007A5BFC"/>
    <w:rsid w:val="007A5D29"/>
    <w:rsid w:val="007A613C"/>
    <w:rsid w:val="007A6302"/>
    <w:rsid w:val="007A76F2"/>
    <w:rsid w:val="007A789E"/>
    <w:rsid w:val="007B2F33"/>
    <w:rsid w:val="007B389D"/>
    <w:rsid w:val="007B50CA"/>
    <w:rsid w:val="007B5AF6"/>
    <w:rsid w:val="007B6DC1"/>
    <w:rsid w:val="007C2D5E"/>
    <w:rsid w:val="007C2FCA"/>
    <w:rsid w:val="007C42B4"/>
    <w:rsid w:val="007C58A9"/>
    <w:rsid w:val="007D44EA"/>
    <w:rsid w:val="007D6302"/>
    <w:rsid w:val="007D70F8"/>
    <w:rsid w:val="007D7E72"/>
    <w:rsid w:val="007E0A67"/>
    <w:rsid w:val="007E1E32"/>
    <w:rsid w:val="007E3B97"/>
    <w:rsid w:val="007E4FA1"/>
    <w:rsid w:val="007E6687"/>
    <w:rsid w:val="007E6FDF"/>
    <w:rsid w:val="007F17CC"/>
    <w:rsid w:val="007F1B5F"/>
    <w:rsid w:val="007F3D7B"/>
    <w:rsid w:val="007F4C47"/>
    <w:rsid w:val="007F4EE0"/>
    <w:rsid w:val="007F608F"/>
    <w:rsid w:val="007F639A"/>
    <w:rsid w:val="007F66AC"/>
    <w:rsid w:val="007F7C6E"/>
    <w:rsid w:val="00801C64"/>
    <w:rsid w:val="00801CA3"/>
    <w:rsid w:val="008023E5"/>
    <w:rsid w:val="008026CC"/>
    <w:rsid w:val="008037E3"/>
    <w:rsid w:val="00804136"/>
    <w:rsid w:val="008047F6"/>
    <w:rsid w:val="00812D58"/>
    <w:rsid w:val="008147AD"/>
    <w:rsid w:val="00814A6C"/>
    <w:rsid w:val="0081540D"/>
    <w:rsid w:val="008158CE"/>
    <w:rsid w:val="00815EAC"/>
    <w:rsid w:val="00817741"/>
    <w:rsid w:val="008206F5"/>
    <w:rsid w:val="00825028"/>
    <w:rsid w:val="00825E09"/>
    <w:rsid w:val="008276FF"/>
    <w:rsid w:val="00827F77"/>
    <w:rsid w:val="00830F86"/>
    <w:rsid w:val="0083643D"/>
    <w:rsid w:val="00836B3A"/>
    <w:rsid w:val="00837049"/>
    <w:rsid w:val="008408E0"/>
    <w:rsid w:val="00841775"/>
    <w:rsid w:val="00841E12"/>
    <w:rsid w:val="00843179"/>
    <w:rsid w:val="00846883"/>
    <w:rsid w:val="00847A1D"/>
    <w:rsid w:val="008503BB"/>
    <w:rsid w:val="008508DF"/>
    <w:rsid w:val="008509E5"/>
    <w:rsid w:val="00852485"/>
    <w:rsid w:val="00853004"/>
    <w:rsid w:val="00861EA2"/>
    <w:rsid w:val="00861F74"/>
    <w:rsid w:val="008627F5"/>
    <w:rsid w:val="00863BA3"/>
    <w:rsid w:val="00863FAD"/>
    <w:rsid w:val="00865CA4"/>
    <w:rsid w:val="008669B8"/>
    <w:rsid w:val="00867295"/>
    <w:rsid w:val="008675BE"/>
    <w:rsid w:val="00870514"/>
    <w:rsid w:val="00872258"/>
    <w:rsid w:val="008768C2"/>
    <w:rsid w:val="00877AD5"/>
    <w:rsid w:val="0088029B"/>
    <w:rsid w:val="00880987"/>
    <w:rsid w:val="008821D3"/>
    <w:rsid w:val="00882E79"/>
    <w:rsid w:val="008831B8"/>
    <w:rsid w:val="0088367F"/>
    <w:rsid w:val="00883E25"/>
    <w:rsid w:val="008904D9"/>
    <w:rsid w:val="008909E6"/>
    <w:rsid w:val="00894626"/>
    <w:rsid w:val="00895574"/>
    <w:rsid w:val="008A0170"/>
    <w:rsid w:val="008A3F1F"/>
    <w:rsid w:val="008A46C8"/>
    <w:rsid w:val="008A544A"/>
    <w:rsid w:val="008B0242"/>
    <w:rsid w:val="008B0C58"/>
    <w:rsid w:val="008B3B3E"/>
    <w:rsid w:val="008B3EC5"/>
    <w:rsid w:val="008B5184"/>
    <w:rsid w:val="008B7411"/>
    <w:rsid w:val="008C0201"/>
    <w:rsid w:val="008C26FD"/>
    <w:rsid w:val="008C27AC"/>
    <w:rsid w:val="008C4A5B"/>
    <w:rsid w:val="008C5241"/>
    <w:rsid w:val="008C5DB9"/>
    <w:rsid w:val="008C71D9"/>
    <w:rsid w:val="008D098A"/>
    <w:rsid w:val="008D2B56"/>
    <w:rsid w:val="008D3DC7"/>
    <w:rsid w:val="008D61DC"/>
    <w:rsid w:val="008D71F1"/>
    <w:rsid w:val="008D72D6"/>
    <w:rsid w:val="008E1C27"/>
    <w:rsid w:val="008E26EE"/>
    <w:rsid w:val="008E2AC8"/>
    <w:rsid w:val="008E3185"/>
    <w:rsid w:val="008E4B13"/>
    <w:rsid w:val="008E5170"/>
    <w:rsid w:val="008E70DA"/>
    <w:rsid w:val="008E73B5"/>
    <w:rsid w:val="008F2486"/>
    <w:rsid w:val="008F76BD"/>
    <w:rsid w:val="00901FF6"/>
    <w:rsid w:val="00902E13"/>
    <w:rsid w:val="00905C39"/>
    <w:rsid w:val="009062A7"/>
    <w:rsid w:val="009075A6"/>
    <w:rsid w:val="0091031C"/>
    <w:rsid w:val="0091036A"/>
    <w:rsid w:val="00911146"/>
    <w:rsid w:val="0091186C"/>
    <w:rsid w:val="00911BFB"/>
    <w:rsid w:val="009125DA"/>
    <w:rsid w:val="0091490B"/>
    <w:rsid w:val="009167D4"/>
    <w:rsid w:val="00917C69"/>
    <w:rsid w:val="00920269"/>
    <w:rsid w:val="00921423"/>
    <w:rsid w:val="0092173B"/>
    <w:rsid w:val="00921771"/>
    <w:rsid w:val="00924E8C"/>
    <w:rsid w:val="009250DB"/>
    <w:rsid w:val="00925F4F"/>
    <w:rsid w:val="009311A8"/>
    <w:rsid w:val="00933075"/>
    <w:rsid w:val="00933F10"/>
    <w:rsid w:val="00934274"/>
    <w:rsid w:val="0093472A"/>
    <w:rsid w:val="0093484E"/>
    <w:rsid w:val="00934FD9"/>
    <w:rsid w:val="009358C6"/>
    <w:rsid w:val="009406FB"/>
    <w:rsid w:val="0094239C"/>
    <w:rsid w:val="00942449"/>
    <w:rsid w:val="009446CC"/>
    <w:rsid w:val="009450F3"/>
    <w:rsid w:val="00945E8F"/>
    <w:rsid w:val="0094648E"/>
    <w:rsid w:val="00950839"/>
    <w:rsid w:val="00953554"/>
    <w:rsid w:val="009551ED"/>
    <w:rsid w:val="00960A5C"/>
    <w:rsid w:val="00961004"/>
    <w:rsid w:val="00962D8C"/>
    <w:rsid w:val="0096309C"/>
    <w:rsid w:val="009631C4"/>
    <w:rsid w:val="00963B57"/>
    <w:rsid w:val="00964FE2"/>
    <w:rsid w:val="00966B4D"/>
    <w:rsid w:val="00976070"/>
    <w:rsid w:val="0097643A"/>
    <w:rsid w:val="009770FF"/>
    <w:rsid w:val="00981995"/>
    <w:rsid w:val="009831F4"/>
    <w:rsid w:val="009832F3"/>
    <w:rsid w:val="00984525"/>
    <w:rsid w:val="00984F6F"/>
    <w:rsid w:val="00985732"/>
    <w:rsid w:val="009864A9"/>
    <w:rsid w:val="00986E3F"/>
    <w:rsid w:val="0099024F"/>
    <w:rsid w:val="00992E7B"/>
    <w:rsid w:val="00993D89"/>
    <w:rsid w:val="00995D88"/>
    <w:rsid w:val="009964B4"/>
    <w:rsid w:val="00997669"/>
    <w:rsid w:val="009A06EA"/>
    <w:rsid w:val="009A101E"/>
    <w:rsid w:val="009A1B2D"/>
    <w:rsid w:val="009A2D87"/>
    <w:rsid w:val="009A3DE8"/>
    <w:rsid w:val="009A4F91"/>
    <w:rsid w:val="009A7522"/>
    <w:rsid w:val="009A7776"/>
    <w:rsid w:val="009B1BFE"/>
    <w:rsid w:val="009B3A2B"/>
    <w:rsid w:val="009B577D"/>
    <w:rsid w:val="009C041D"/>
    <w:rsid w:val="009C2701"/>
    <w:rsid w:val="009C27AD"/>
    <w:rsid w:val="009C33A4"/>
    <w:rsid w:val="009C4689"/>
    <w:rsid w:val="009C510E"/>
    <w:rsid w:val="009C56EA"/>
    <w:rsid w:val="009D2113"/>
    <w:rsid w:val="009D26FA"/>
    <w:rsid w:val="009D347C"/>
    <w:rsid w:val="009D5286"/>
    <w:rsid w:val="009D5475"/>
    <w:rsid w:val="009E2590"/>
    <w:rsid w:val="009E3AED"/>
    <w:rsid w:val="009E4A26"/>
    <w:rsid w:val="009E63C8"/>
    <w:rsid w:val="009E6D9A"/>
    <w:rsid w:val="009F1568"/>
    <w:rsid w:val="009F342C"/>
    <w:rsid w:val="009F5FC5"/>
    <w:rsid w:val="009F7399"/>
    <w:rsid w:val="009F77DF"/>
    <w:rsid w:val="009F79C8"/>
    <w:rsid w:val="00A003A1"/>
    <w:rsid w:val="00A01B9C"/>
    <w:rsid w:val="00A02025"/>
    <w:rsid w:val="00A02CF5"/>
    <w:rsid w:val="00A0388F"/>
    <w:rsid w:val="00A03E4B"/>
    <w:rsid w:val="00A10553"/>
    <w:rsid w:val="00A1190F"/>
    <w:rsid w:val="00A14021"/>
    <w:rsid w:val="00A15AF3"/>
    <w:rsid w:val="00A16183"/>
    <w:rsid w:val="00A16535"/>
    <w:rsid w:val="00A20C1B"/>
    <w:rsid w:val="00A21000"/>
    <w:rsid w:val="00A2177F"/>
    <w:rsid w:val="00A23720"/>
    <w:rsid w:val="00A25AF4"/>
    <w:rsid w:val="00A25DF2"/>
    <w:rsid w:val="00A25FCE"/>
    <w:rsid w:val="00A262B4"/>
    <w:rsid w:val="00A26CBF"/>
    <w:rsid w:val="00A27FAE"/>
    <w:rsid w:val="00A31474"/>
    <w:rsid w:val="00A3539C"/>
    <w:rsid w:val="00A3587E"/>
    <w:rsid w:val="00A36C7F"/>
    <w:rsid w:val="00A37579"/>
    <w:rsid w:val="00A409EE"/>
    <w:rsid w:val="00A41E09"/>
    <w:rsid w:val="00A4621E"/>
    <w:rsid w:val="00A47BCD"/>
    <w:rsid w:val="00A50F0E"/>
    <w:rsid w:val="00A51625"/>
    <w:rsid w:val="00A540B2"/>
    <w:rsid w:val="00A574C5"/>
    <w:rsid w:val="00A57D6F"/>
    <w:rsid w:val="00A603E7"/>
    <w:rsid w:val="00A606E8"/>
    <w:rsid w:val="00A61EBD"/>
    <w:rsid w:val="00A622A0"/>
    <w:rsid w:val="00A65077"/>
    <w:rsid w:val="00A65425"/>
    <w:rsid w:val="00A65C84"/>
    <w:rsid w:val="00A65CFB"/>
    <w:rsid w:val="00A67A0B"/>
    <w:rsid w:val="00A71ED7"/>
    <w:rsid w:val="00A800EB"/>
    <w:rsid w:val="00A806A0"/>
    <w:rsid w:val="00A83DA7"/>
    <w:rsid w:val="00A84D5F"/>
    <w:rsid w:val="00A8542C"/>
    <w:rsid w:val="00A8582B"/>
    <w:rsid w:val="00A8641E"/>
    <w:rsid w:val="00A86B9A"/>
    <w:rsid w:val="00A87434"/>
    <w:rsid w:val="00A87C1E"/>
    <w:rsid w:val="00A9044E"/>
    <w:rsid w:val="00A90516"/>
    <w:rsid w:val="00A91EBC"/>
    <w:rsid w:val="00A925CB"/>
    <w:rsid w:val="00A92D74"/>
    <w:rsid w:val="00A968BD"/>
    <w:rsid w:val="00A97044"/>
    <w:rsid w:val="00AA0E75"/>
    <w:rsid w:val="00AA235C"/>
    <w:rsid w:val="00AA2AF3"/>
    <w:rsid w:val="00AA441A"/>
    <w:rsid w:val="00AA51DF"/>
    <w:rsid w:val="00AB0F64"/>
    <w:rsid w:val="00AB1140"/>
    <w:rsid w:val="00AB257E"/>
    <w:rsid w:val="00AB43C9"/>
    <w:rsid w:val="00AB5555"/>
    <w:rsid w:val="00AB6672"/>
    <w:rsid w:val="00AC07B7"/>
    <w:rsid w:val="00AC19B5"/>
    <w:rsid w:val="00AC327A"/>
    <w:rsid w:val="00AC6417"/>
    <w:rsid w:val="00AC693A"/>
    <w:rsid w:val="00AC6AD7"/>
    <w:rsid w:val="00AD2674"/>
    <w:rsid w:val="00AD7CE9"/>
    <w:rsid w:val="00AE0C8B"/>
    <w:rsid w:val="00AE1BF1"/>
    <w:rsid w:val="00AE6537"/>
    <w:rsid w:val="00AE655A"/>
    <w:rsid w:val="00AF07E3"/>
    <w:rsid w:val="00AF0F3C"/>
    <w:rsid w:val="00AF31F2"/>
    <w:rsid w:val="00AF33EC"/>
    <w:rsid w:val="00AF3A51"/>
    <w:rsid w:val="00AF4319"/>
    <w:rsid w:val="00AF6A95"/>
    <w:rsid w:val="00B00D09"/>
    <w:rsid w:val="00B01BC4"/>
    <w:rsid w:val="00B060FA"/>
    <w:rsid w:val="00B1367B"/>
    <w:rsid w:val="00B1572A"/>
    <w:rsid w:val="00B15D94"/>
    <w:rsid w:val="00B16CF2"/>
    <w:rsid w:val="00B16CFC"/>
    <w:rsid w:val="00B17A9F"/>
    <w:rsid w:val="00B20C3D"/>
    <w:rsid w:val="00B26770"/>
    <w:rsid w:val="00B328A8"/>
    <w:rsid w:val="00B35C85"/>
    <w:rsid w:val="00B41F7A"/>
    <w:rsid w:val="00B43B13"/>
    <w:rsid w:val="00B43DF8"/>
    <w:rsid w:val="00B45719"/>
    <w:rsid w:val="00B47BD2"/>
    <w:rsid w:val="00B47DBE"/>
    <w:rsid w:val="00B51C9D"/>
    <w:rsid w:val="00B53AA2"/>
    <w:rsid w:val="00B541F5"/>
    <w:rsid w:val="00B54D64"/>
    <w:rsid w:val="00B555CD"/>
    <w:rsid w:val="00B57467"/>
    <w:rsid w:val="00B5764C"/>
    <w:rsid w:val="00B61CAE"/>
    <w:rsid w:val="00B67218"/>
    <w:rsid w:val="00B72365"/>
    <w:rsid w:val="00B72A90"/>
    <w:rsid w:val="00B743C4"/>
    <w:rsid w:val="00B74E5F"/>
    <w:rsid w:val="00B763F3"/>
    <w:rsid w:val="00B76D56"/>
    <w:rsid w:val="00B773D2"/>
    <w:rsid w:val="00B77FE1"/>
    <w:rsid w:val="00B81AFB"/>
    <w:rsid w:val="00B85283"/>
    <w:rsid w:val="00B9004D"/>
    <w:rsid w:val="00B903B9"/>
    <w:rsid w:val="00B90497"/>
    <w:rsid w:val="00B92B83"/>
    <w:rsid w:val="00B94D58"/>
    <w:rsid w:val="00B9565A"/>
    <w:rsid w:val="00B97C82"/>
    <w:rsid w:val="00BA0F84"/>
    <w:rsid w:val="00BA1BCB"/>
    <w:rsid w:val="00BA1DCF"/>
    <w:rsid w:val="00BA27FA"/>
    <w:rsid w:val="00BA438F"/>
    <w:rsid w:val="00BA439F"/>
    <w:rsid w:val="00BA589E"/>
    <w:rsid w:val="00BA62D1"/>
    <w:rsid w:val="00BB1D57"/>
    <w:rsid w:val="00BB27FB"/>
    <w:rsid w:val="00BB2AEA"/>
    <w:rsid w:val="00BB37BF"/>
    <w:rsid w:val="00BB4BAA"/>
    <w:rsid w:val="00BB4C5A"/>
    <w:rsid w:val="00BC0A8C"/>
    <w:rsid w:val="00BC27F9"/>
    <w:rsid w:val="00BC2A24"/>
    <w:rsid w:val="00BC2D88"/>
    <w:rsid w:val="00BC3103"/>
    <w:rsid w:val="00BC38A6"/>
    <w:rsid w:val="00BC4173"/>
    <w:rsid w:val="00BC50B6"/>
    <w:rsid w:val="00BC5A73"/>
    <w:rsid w:val="00BC66CF"/>
    <w:rsid w:val="00BD2298"/>
    <w:rsid w:val="00BD3BCB"/>
    <w:rsid w:val="00BD551C"/>
    <w:rsid w:val="00BD7130"/>
    <w:rsid w:val="00BE1012"/>
    <w:rsid w:val="00BE27F5"/>
    <w:rsid w:val="00BE3DF8"/>
    <w:rsid w:val="00BE3FA4"/>
    <w:rsid w:val="00BE4C28"/>
    <w:rsid w:val="00BE4CA2"/>
    <w:rsid w:val="00BE539A"/>
    <w:rsid w:val="00BE6D9B"/>
    <w:rsid w:val="00BE7479"/>
    <w:rsid w:val="00BF1045"/>
    <w:rsid w:val="00BF1787"/>
    <w:rsid w:val="00BF3801"/>
    <w:rsid w:val="00BF64BD"/>
    <w:rsid w:val="00BF736B"/>
    <w:rsid w:val="00C015CF"/>
    <w:rsid w:val="00C01AC0"/>
    <w:rsid w:val="00C01FFD"/>
    <w:rsid w:val="00C02CBF"/>
    <w:rsid w:val="00C036E1"/>
    <w:rsid w:val="00C07C4D"/>
    <w:rsid w:val="00C101DB"/>
    <w:rsid w:val="00C1153D"/>
    <w:rsid w:val="00C11547"/>
    <w:rsid w:val="00C1216F"/>
    <w:rsid w:val="00C1399A"/>
    <w:rsid w:val="00C143A2"/>
    <w:rsid w:val="00C159D3"/>
    <w:rsid w:val="00C21281"/>
    <w:rsid w:val="00C2156C"/>
    <w:rsid w:val="00C21A15"/>
    <w:rsid w:val="00C25BFA"/>
    <w:rsid w:val="00C2692A"/>
    <w:rsid w:val="00C26949"/>
    <w:rsid w:val="00C3174B"/>
    <w:rsid w:val="00C31EE7"/>
    <w:rsid w:val="00C329DD"/>
    <w:rsid w:val="00C32A59"/>
    <w:rsid w:val="00C32B39"/>
    <w:rsid w:val="00C339CF"/>
    <w:rsid w:val="00C34B8C"/>
    <w:rsid w:val="00C34D9E"/>
    <w:rsid w:val="00C3511E"/>
    <w:rsid w:val="00C3528E"/>
    <w:rsid w:val="00C375EE"/>
    <w:rsid w:val="00C3789C"/>
    <w:rsid w:val="00C37A94"/>
    <w:rsid w:val="00C40CE0"/>
    <w:rsid w:val="00C41B0A"/>
    <w:rsid w:val="00C430C0"/>
    <w:rsid w:val="00C43972"/>
    <w:rsid w:val="00C43CF8"/>
    <w:rsid w:val="00C450CD"/>
    <w:rsid w:val="00C50FF5"/>
    <w:rsid w:val="00C527E4"/>
    <w:rsid w:val="00C55612"/>
    <w:rsid w:val="00C55EA8"/>
    <w:rsid w:val="00C5732A"/>
    <w:rsid w:val="00C57F51"/>
    <w:rsid w:val="00C61212"/>
    <w:rsid w:val="00C631C0"/>
    <w:rsid w:val="00C66A61"/>
    <w:rsid w:val="00C707B9"/>
    <w:rsid w:val="00C715D6"/>
    <w:rsid w:val="00C71F4C"/>
    <w:rsid w:val="00C71F8E"/>
    <w:rsid w:val="00C72143"/>
    <w:rsid w:val="00C73C16"/>
    <w:rsid w:val="00C76E59"/>
    <w:rsid w:val="00C80EC5"/>
    <w:rsid w:val="00C81CBA"/>
    <w:rsid w:val="00C8304B"/>
    <w:rsid w:val="00C850A0"/>
    <w:rsid w:val="00C871D9"/>
    <w:rsid w:val="00C87ABA"/>
    <w:rsid w:val="00C91913"/>
    <w:rsid w:val="00C9267B"/>
    <w:rsid w:val="00C95AB9"/>
    <w:rsid w:val="00C965DE"/>
    <w:rsid w:val="00C97DD7"/>
    <w:rsid w:val="00CA256A"/>
    <w:rsid w:val="00CA28B4"/>
    <w:rsid w:val="00CA59A6"/>
    <w:rsid w:val="00CA5BEA"/>
    <w:rsid w:val="00CA67CF"/>
    <w:rsid w:val="00CA6CDA"/>
    <w:rsid w:val="00CB64F6"/>
    <w:rsid w:val="00CC175B"/>
    <w:rsid w:val="00CC4544"/>
    <w:rsid w:val="00CC4FB8"/>
    <w:rsid w:val="00CC6381"/>
    <w:rsid w:val="00CD0BF0"/>
    <w:rsid w:val="00CD14EF"/>
    <w:rsid w:val="00CD165B"/>
    <w:rsid w:val="00CD1881"/>
    <w:rsid w:val="00CD1BE6"/>
    <w:rsid w:val="00CD2855"/>
    <w:rsid w:val="00CD2D82"/>
    <w:rsid w:val="00CD3638"/>
    <w:rsid w:val="00CD3828"/>
    <w:rsid w:val="00CD66CC"/>
    <w:rsid w:val="00CE3808"/>
    <w:rsid w:val="00CE60EC"/>
    <w:rsid w:val="00CE62FD"/>
    <w:rsid w:val="00CE6DF8"/>
    <w:rsid w:val="00CF1EF9"/>
    <w:rsid w:val="00CF22C8"/>
    <w:rsid w:val="00CF29A1"/>
    <w:rsid w:val="00CF55C3"/>
    <w:rsid w:val="00CF6977"/>
    <w:rsid w:val="00D0204F"/>
    <w:rsid w:val="00D03A05"/>
    <w:rsid w:val="00D03EB6"/>
    <w:rsid w:val="00D04405"/>
    <w:rsid w:val="00D060DC"/>
    <w:rsid w:val="00D062AF"/>
    <w:rsid w:val="00D067CD"/>
    <w:rsid w:val="00D0780C"/>
    <w:rsid w:val="00D104B6"/>
    <w:rsid w:val="00D13895"/>
    <w:rsid w:val="00D14374"/>
    <w:rsid w:val="00D261C7"/>
    <w:rsid w:val="00D30D7E"/>
    <w:rsid w:val="00D3328A"/>
    <w:rsid w:val="00D335D2"/>
    <w:rsid w:val="00D33ABC"/>
    <w:rsid w:val="00D35238"/>
    <w:rsid w:val="00D37137"/>
    <w:rsid w:val="00D40A12"/>
    <w:rsid w:val="00D412E9"/>
    <w:rsid w:val="00D41856"/>
    <w:rsid w:val="00D432AE"/>
    <w:rsid w:val="00D4546A"/>
    <w:rsid w:val="00D460E3"/>
    <w:rsid w:val="00D461E4"/>
    <w:rsid w:val="00D478D8"/>
    <w:rsid w:val="00D50B0E"/>
    <w:rsid w:val="00D5198A"/>
    <w:rsid w:val="00D52A1C"/>
    <w:rsid w:val="00D55673"/>
    <w:rsid w:val="00D55679"/>
    <w:rsid w:val="00D5782C"/>
    <w:rsid w:val="00D57A6B"/>
    <w:rsid w:val="00D60001"/>
    <w:rsid w:val="00D614AD"/>
    <w:rsid w:val="00D62417"/>
    <w:rsid w:val="00D633A3"/>
    <w:rsid w:val="00D63A8D"/>
    <w:rsid w:val="00D64652"/>
    <w:rsid w:val="00D67D8B"/>
    <w:rsid w:val="00D70884"/>
    <w:rsid w:val="00D8172B"/>
    <w:rsid w:val="00D81E99"/>
    <w:rsid w:val="00D84014"/>
    <w:rsid w:val="00D87E75"/>
    <w:rsid w:val="00D9022D"/>
    <w:rsid w:val="00D91686"/>
    <w:rsid w:val="00D929F9"/>
    <w:rsid w:val="00D94540"/>
    <w:rsid w:val="00D94EB1"/>
    <w:rsid w:val="00D9586F"/>
    <w:rsid w:val="00D95D7D"/>
    <w:rsid w:val="00D96B8D"/>
    <w:rsid w:val="00DA1316"/>
    <w:rsid w:val="00DA2823"/>
    <w:rsid w:val="00DA5EC0"/>
    <w:rsid w:val="00DA5EFB"/>
    <w:rsid w:val="00DA6439"/>
    <w:rsid w:val="00DA6B07"/>
    <w:rsid w:val="00DA7759"/>
    <w:rsid w:val="00DA77AE"/>
    <w:rsid w:val="00DA7FE4"/>
    <w:rsid w:val="00DB04D4"/>
    <w:rsid w:val="00DB0687"/>
    <w:rsid w:val="00DB21E1"/>
    <w:rsid w:val="00DB22BD"/>
    <w:rsid w:val="00DB303D"/>
    <w:rsid w:val="00DB316C"/>
    <w:rsid w:val="00DB32C4"/>
    <w:rsid w:val="00DB4B11"/>
    <w:rsid w:val="00DB4C84"/>
    <w:rsid w:val="00DB4F70"/>
    <w:rsid w:val="00DB7CF7"/>
    <w:rsid w:val="00DC195B"/>
    <w:rsid w:val="00DC3336"/>
    <w:rsid w:val="00DC3EBE"/>
    <w:rsid w:val="00DC410F"/>
    <w:rsid w:val="00DC4F84"/>
    <w:rsid w:val="00DC50DD"/>
    <w:rsid w:val="00DC6392"/>
    <w:rsid w:val="00DC6A13"/>
    <w:rsid w:val="00DC769A"/>
    <w:rsid w:val="00DD1731"/>
    <w:rsid w:val="00DD530A"/>
    <w:rsid w:val="00DD5E2B"/>
    <w:rsid w:val="00DE04A5"/>
    <w:rsid w:val="00DE0A49"/>
    <w:rsid w:val="00DE1A0B"/>
    <w:rsid w:val="00DE1DAD"/>
    <w:rsid w:val="00DE21C0"/>
    <w:rsid w:val="00DE27E4"/>
    <w:rsid w:val="00DE337C"/>
    <w:rsid w:val="00DE3659"/>
    <w:rsid w:val="00DE4442"/>
    <w:rsid w:val="00DE739A"/>
    <w:rsid w:val="00DE7BA9"/>
    <w:rsid w:val="00DF0AD4"/>
    <w:rsid w:val="00DF0D36"/>
    <w:rsid w:val="00DF1D24"/>
    <w:rsid w:val="00DF3649"/>
    <w:rsid w:val="00DF71AE"/>
    <w:rsid w:val="00E000B3"/>
    <w:rsid w:val="00E01726"/>
    <w:rsid w:val="00E01A16"/>
    <w:rsid w:val="00E01CE0"/>
    <w:rsid w:val="00E01F02"/>
    <w:rsid w:val="00E03BB3"/>
    <w:rsid w:val="00E03E97"/>
    <w:rsid w:val="00E04684"/>
    <w:rsid w:val="00E105DF"/>
    <w:rsid w:val="00E11425"/>
    <w:rsid w:val="00E121D9"/>
    <w:rsid w:val="00E13624"/>
    <w:rsid w:val="00E13890"/>
    <w:rsid w:val="00E13EA4"/>
    <w:rsid w:val="00E161B3"/>
    <w:rsid w:val="00E16AA9"/>
    <w:rsid w:val="00E17572"/>
    <w:rsid w:val="00E17B7D"/>
    <w:rsid w:val="00E2020D"/>
    <w:rsid w:val="00E22FD1"/>
    <w:rsid w:val="00E26B6F"/>
    <w:rsid w:val="00E26D07"/>
    <w:rsid w:val="00E275E1"/>
    <w:rsid w:val="00E32DE8"/>
    <w:rsid w:val="00E33EC4"/>
    <w:rsid w:val="00E35164"/>
    <w:rsid w:val="00E35726"/>
    <w:rsid w:val="00E35AD8"/>
    <w:rsid w:val="00E35E13"/>
    <w:rsid w:val="00E3668D"/>
    <w:rsid w:val="00E446D8"/>
    <w:rsid w:val="00E45323"/>
    <w:rsid w:val="00E4562A"/>
    <w:rsid w:val="00E4682A"/>
    <w:rsid w:val="00E47C68"/>
    <w:rsid w:val="00E5182D"/>
    <w:rsid w:val="00E5206D"/>
    <w:rsid w:val="00E52090"/>
    <w:rsid w:val="00E52CFC"/>
    <w:rsid w:val="00E52F63"/>
    <w:rsid w:val="00E547DF"/>
    <w:rsid w:val="00E5512E"/>
    <w:rsid w:val="00E55157"/>
    <w:rsid w:val="00E56709"/>
    <w:rsid w:val="00E56F89"/>
    <w:rsid w:val="00E57311"/>
    <w:rsid w:val="00E5758D"/>
    <w:rsid w:val="00E6272B"/>
    <w:rsid w:val="00E62EEF"/>
    <w:rsid w:val="00E6397B"/>
    <w:rsid w:val="00E657C3"/>
    <w:rsid w:val="00E66AD9"/>
    <w:rsid w:val="00E670FE"/>
    <w:rsid w:val="00E7018C"/>
    <w:rsid w:val="00E71A3F"/>
    <w:rsid w:val="00E72B38"/>
    <w:rsid w:val="00E823A7"/>
    <w:rsid w:val="00E828E7"/>
    <w:rsid w:val="00E85275"/>
    <w:rsid w:val="00E85820"/>
    <w:rsid w:val="00E87C39"/>
    <w:rsid w:val="00E92B23"/>
    <w:rsid w:val="00E93264"/>
    <w:rsid w:val="00E969FC"/>
    <w:rsid w:val="00E974DB"/>
    <w:rsid w:val="00EA36D0"/>
    <w:rsid w:val="00EA3D58"/>
    <w:rsid w:val="00EA57EE"/>
    <w:rsid w:val="00EA7030"/>
    <w:rsid w:val="00EB0CBE"/>
    <w:rsid w:val="00EB363A"/>
    <w:rsid w:val="00EB57BB"/>
    <w:rsid w:val="00EC03EC"/>
    <w:rsid w:val="00EC1751"/>
    <w:rsid w:val="00EC2481"/>
    <w:rsid w:val="00EC2E29"/>
    <w:rsid w:val="00EC6150"/>
    <w:rsid w:val="00EC7B6B"/>
    <w:rsid w:val="00ED0A3C"/>
    <w:rsid w:val="00ED4A28"/>
    <w:rsid w:val="00ED5DA4"/>
    <w:rsid w:val="00ED70C2"/>
    <w:rsid w:val="00EE0B1E"/>
    <w:rsid w:val="00EE11D6"/>
    <w:rsid w:val="00EE1E4F"/>
    <w:rsid w:val="00EE28F8"/>
    <w:rsid w:val="00EE2950"/>
    <w:rsid w:val="00EE32F9"/>
    <w:rsid w:val="00EE7928"/>
    <w:rsid w:val="00EF0B6B"/>
    <w:rsid w:val="00EF1865"/>
    <w:rsid w:val="00EF1964"/>
    <w:rsid w:val="00EF1A05"/>
    <w:rsid w:val="00EF251D"/>
    <w:rsid w:val="00EF5E74"/>
    <w:rsid w:val="00EF7FC6"/>
    <w:rsid w:val="00F000E0"/>
    <w:rsid w:val="00F0335A"/>
    <w:rsid w:val="00F079AE"/>
    <w:rsid w:val="00F114C5"/>
    <w:rsid w:val="00F12A92"/>
    <w:rsid w:val="00F132BC"/>
    <w:rsid w:val="00F14B6E"/>
    <w:rsid w:val="00F16AC0"/>
    <w:rsid w:val="00F178C4"/>
    <w:rsid w:val="00F2079E"/>
    <w:rsid w:val="00F20DBE"/>
    <w:rsid w:val="00F21B31"/>
    <w:rsid w:val="00F21B6D"/>
    <w:rsid w:val="00F22BD6"/>
    <w:rsid w:val="00F22EA3"/>
    <w:rsid w:val="00F252DD"/>
    <w:rsid w:val="00F2683B"/>
    <w:rsid w:val="00F26A47"/>
    <w:rsid w:val="00F3149F"/>
    <w:rsid w:val="00F327BF"/>
    <w:rsid w:val="00F34466"/>
    <w:rsid w:val="00F34BF1"/>
    <w:rsid w:val="00F3529F"/>
    <w:rsid w:val="00F37576"/>
    <w:rsid w:val="00F37E58"/>
    <w:rsid w:val="00F40D4C"/>
    <w:rsid w:val="00F40D8F"/>
    <w:rsid w:val="00F44F89"/>
    <w:rsid w:val="00F47EAB"/>
    <w:rsid w:val="00F51938"/>
    <w:rsid w:val="00F57801"/>
    <w:rsid w:val="00F579D3"/>
    <w:rsid w:val="00F61888"/>
    <w:rsid w:val="00F646BA"/>
    <w:rsid w:val="00F6524F"/>
    <w:rsid w:val="00F65B3D"/>
    <w:rsid w:val="00F66367"/>
    <w:rsid w:val="00F70B72"/>
    <w:rsid w:val="00F7143D"/>
    <w:rsid w:val="00F72EDC"/>
    <w:rsid w:val="00F75E88"/>
    <w:rsid w:val="00F8065C"/>
    <w:rsid w:val="00F81AF8"/>
    <w:rsid w:val="00F8428B"/>
    <w:rsid w:val="00F85AB3"/>
    <w:rsid w:val="00F86E8A"/>
    <w:rsid w:val="00F871F7"/>
    <w:rsid w:val="00F876BC"/>
    <w:rsid w:val="00F9135E"/>
    <w:rsid w:val="00F93894"/>
    <w:rsid w:val="00F955A5"/>
    <w:rsid w:val="00F96534"/>
    <w:rsid w:val="00F97CE8"/>
    <w:rsid w:val="00FA1656"/>
    <w:rsid w:val="00FA1C8A"/>
    <w:rsid w:val="00FA20B6"/>
    <w:rsid w:val="00FA231C"/>
    <w:rsid w:val="00FA33ED"/>
    <w:rsid w:val="00FB78E7"/>
    <w:rsid w:val="00FB7940"/>
    <w:rsid w:val="00FC0153"/>
    <w:rsid w:val="00FC13DC"/>
    <w:rsid w:val="00FC1B11"/>
    <w:rsid w:val="00FC2931"/>
    <w:rsid w:val="00FC4A87"/>
    <w:rsid w:val="00FD1346"/>
    <w:rsid w:val="00FD28AF"/>
    <w:rsid w:val="00FD28D3"/>
    <w:rsid w:val="00FD3542"/>
    <w:rsid w:val="00FD46E6"/>
    <w:rsid w:val="00FD54CB"/>
    <w:rsid w:val="00FD579D"/>
    <w:rsid w:val="00FE26CE"/>
    <w:rsid w:val="00FE29D9"/>
    <w:rsid w:val="00FE2DDF"/>
    <w:rsid w:val="00FE31BE"/>
    <w:rsid w:val="00FE5431"/>
    <w:rsid w:val="00FE5657"/>
    <w:rsid w:val="00FE5C9A"/>
    <w:rsid w:val="00FE72D1"/>
    <w:rsid w:val="00FE748E"/>
    <w:rsid w:val="00FE78B4"/>
    <w:rsid w:val="00FE7B0A"/>
    <w:rsid w:val="00FF0AF4"/>
    <w:rsid w:val="00FF0F12"/>
    <w:rsid w:val="00FF418A"/>
    <w:rsid w:val="00FF482B"/>
    <w:rsid w:val="00FF50A5"/>
    <w:rsid w:val="00FF5607"/>
    <w:rsid w:val="00FF7C47"/>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before="120"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98A"/>
    <w:pPr>
      <w:spacing w:before="0" w:after="160" w:line="288" w:lineRule="auto"/>
      <w:ind w:left="2160"/>
      <w:jc w:val="left"/>
    </w:pPr>
    <w:rPr>
      <w:rFonts w:eastAsiaTheme="minorHAnsi"/>
      <w:color w:val="5A5A5A" w:themeColor="text1" w:themeTint="A5"/>
      <w:sz w:val="20"/>
      <w:szCs w:val="20"/>
      <w:lang w:val="en-GB" w:bidi="ar-SA"/>
    </w:rPr>
  </w:style>
  <w:style w:type="paragraph" w:styleId="Overskrift1">
    <w:name w:val="heading 1"/>
    <w:basedOn w:val="Normal"/>
    <w:next w:val="Normal"/>
    <w:link w:val="Overskrift1Tegn"/>
    <w:uiPriority w:val="9"/>
    <w:qFormat/>
    <w:rsid w:val="00CC6381"/>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Overskrift2">
    <w:name w:val="heading 2"/>
    <w:basedOn w:val="Normal"/>
    <w:next w:val="Normal"/>
    <w:link w:val="Overskrift2Tegn"/>
    <w:uiPriority w:val="9"/>
    <w:unhideWhenUsed/>
    <w:qFormat/>
    <w:rsid w:val="00CC6381"/>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Overskrift3">
    <w:name w:val="heading 3"/>
    <w:basedOn w:val="Normal"/>
    <w:next w:val="Normal"/>
    <w:link w:val="Overskrift3Tegn"/>
    <w:uiPriority w:val="9"/>
    <w:unhideWhenUsed/>
    <w:qFormat/>
    <w:rsid w:val="00CC6381"/>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Overskrift4">
    <w:name w:val="heading 4"/>
    <w:basedOn w:val="Normal"/>
    <w:next w:val="Normal"/>
    <w:link w:val="Overskrift4Tegn"/>
    <w:uiPriority w:val="9"/>
    <w:unhideWhenUsed/>
    <w:qFormat/>
    <w:rsid w:val="00CC6381"/>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Overskrift5">
    <w:name w:val="heading 5"/>
    <w:basedOn w:val="Normal"/>
    <w:next w:val="Normal"/>
    <w:link w:val="Overskrift5Tegn"/>
    <w:uiPriority w:val="9"/>
    <w:unhideWhenUsed/>
    <w:qFormat/>
    <w:rsid w:val="00CC6381"/>
    <w:pPr>
      <w:pBdr>
        <w:bottom w:val="single" w:sz="6" w:space="1" w:color="4F81BD" w:themeColor="accent1"/>
      </w:pBdr>
      <w:spacing w:before="300" w:after="0"/>
      <w:outlineLvl w:val="4"/>
    </w:pPr>
    <w:rPr>
      <w:caps/>
      <w:color w:val="365F91" w:themeColor="accent1" w:themeShade="BF"/>
      <w:spacing w:val="10"/>
      <w:sz w:val="22"/>
      <w:szCs w:val="22"/>
    </w:rPr>
  </w:style>
  <w:style w:type="paragraph" w:styleId="Overskrift6">
    <w:name w:val="heading 6"/>
    <w:basedOn w:val="Normal"/>
    <w:next w:val="Normal"/>
    <w:link w:val="Overskrift6Tegn"/>
    <w:uiPriority w:val="9"/>
    <w:unhideWhenUsed/>
    <w:qFormat/>
    <w:rsid w:val="00CC6381"/>
    <w:pPr>
      <w:pBdr>
        <w:bottom w:val="dotted" w:sz="6" w:space="1" w:color="4F81BD" w:themeColor="accent1"/>
      </w:pBdr>
      <w:spacing w:before="300" w:after="0"/>
      <w:outlineLvl w:val="5"/>
    </w:pPr>
    <w:rPr>
      <w:caps/>
      <w:color w:val="365F91" w:themeColor="accent1" w:themeShade="BF"/>
      <w:spacing w:val="10"/>
      <w:sz w:val="22"/>
      <w:szCs w:val="22"/>
    </w:rPr>
  </w:style>
  <w:style w:type="paragraph" w:styleId="Overskrift7">
    <w:name w:val="heading 7"/>
    <w:basedOn w:val="Normal"/>
    <w:next w:val="Normal"/>
    <w:link w:val="Overskrift7Tegn"/>
    <w:uiPriority w:val="9"/>
    <w:unhideWhenUsed/>
    <w:qFormat/>
    <w:rsid w:val="00CC6381"/>
    <w:pPr>
      <w:spacing w:before="300" w:after="0"/>
      <w:outlineLvl w:val="6"/>
    </w:pPr>
    <w:rPr>
      <w:caps/>
      <w:color w:val="365F91" w:themeColor="accent1" w:themeShade="BF"/>
      <w:spacing w:val="10"/>
      <w:sz w:val="22"/>
      <w:szCs w:val="22"/>
    </w:rPr>
  </w:style>
  <w:style w:type="paragraph" w:styleId="Overskrift8">
    <w:name w:val="heading 8"/>
    <w:basedOn w:val="Normal"/>
    <w:next w:val="Normal"/>
    <w:link w:val="Overskrift8Tegn"/>
    <w:uiPriority w:val="9"/>
    <w:unhideWhenUsed/>
    <w:qFormat/>
    <w:rsid w:val="00CC6381"/>
    <w:pPr>
      <w:spacing w:before="300" w:after="0"/>
      <w:outlineLvl w:val="7"/>
    </w:pPr>
    <w:rPr>
      <w:caps/>
      <w:spacing w:val="10"/>
      <w:sz w:val="18"/>
      <w:szCs w:val="18"/>
    </w:rPr>
  </w:style>
  <w:style w:type="paragraph" w:styleId="Overskrift9">
    <w:name w:val="heading 9"/>
    <w:basedOn w:val="Normal"/>
    <w:next w:val="Normal"/>
    <w:link w:val="Overskrift9Tegn"/>
    <w:uiPriority w:val="9"/>
    <w:unhideWhenUsed/>
    <w:qFormat/>
    <w:rsid w:val="00CC6381"/>
    <w:pPr>
      <w:spacing w:before="300" w:after="0"/>
      <w:outlineLvl w:val="8"/>
    </w:pPr>
    <w:rPr>
      <w:i/>
      <w:caps/>
      <w:spacing w:val="10"/>
      <w:sz w:val="18"/>
      <w:szCs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C6381"/>
    <w:rPr>
      <w:b/>
      <w:bCs/>
      <w:caps/>
      <w:color w:val="FFFFFF" w:themeColor="background1"/>
      <w:spacing w:val="15"/>
      <w:shd w:val="clear" w:color="auto" w:fill="4F81BD" w:themeFill="accent1"/>
    </w:rPr>
  </w:style>
  <w:style w:type="paragraph" w:styleId="Ingenafstand">
    <w:name w:val="No Spacing"/>
    <w:basedOn w:val="Normal"/>
    <w:link w:val="IngenafstandTegn"/>
    <w:uiPriority w:val="1"/>
    <w:qFormat/>
    <w:rsid w:val="00CC6381"/>
    <w:pPr>
      <w:spacing w:after="0"/>
    </w:pPr>
  </w:style>
  <w:style w:type="character" w:customStyle="1" w:styleId="Overskrift2Tegn">
    <w:name w:val="Overskrift 2 Tegn"/>
    <w:basedOn w:val="Standardskrifttypeiafsnit"/>
    <w:link w:val="Overskrift2"/>
    <w:uiPriority w:val="9"/>
    <w:rsid w:val="00CC6381"/>
    <w:rPr>
      <w:caps/>
      <w:spacing w:val="15"/>
      <w:shd w:val="clear" w:color="auto" w:fill="DBE5F1" w:themeFill="accent1" w:themeFillTint="33"/>
    </w:rPr>
  </w:style>
  <w:style w:type="character" w:customStyle="1" w:styleId="Overskrift3Tegn">
    <w:name w:val="Overskrift 3 Tegn"/>
    <w:basedOn w:val="Standardskrifttypeiafsnit"/>
    <w:link w:val="Overskrift3"/>
    <w:uiPriority w:val="9"/>
    <w:rsid w:val="00CC6381"/>
    <w:rPr>
      <w:caps/>
      <w:color w:val="243F60" w:themeColor="accent1" w:themeShade="7F"/>
      <w:spacing w:val="15"/>
    </w:rPr>
  </w:style>
  <w:style w:type="character" w:customStyle="1" w:styleId="Overskrift4Tegn">
    <w:name w:val="Overskrift 4 Tegn"/>
    <w:basedOn w:val="Standardskrifttypeiafsnit"/>
    <w:link w:val="Overskrift4"/>
    <w:uiPriority w:val="9"/>
    <w:rsid w:val="00CC6381"/>
    <w:rPr>
      <w:caps/>
      <w:color w:val="365F91" w:themeColor="accent1" w:themeShade="BF"/>
      <w:spacing w:val="10"/>
    </w:rPr>
  </w:style>
  <w:style w:type="character" w:customStyle="1" w:styleId="Overskrift5Tegn">
    <w:name w:val="Overskrift 5 Tegn"/>
    <w:basedOn w:val="Standardskrifttypeiafsnit"/>
    <w:link w:val="Overskrift5"/>
    <w:uiPriority w:val="9"/>
    <w:rsid w:val="00CC6381"/>
    <w:rPr>
      <w:caps/>
      <w:color w:val="365F91" w:themeColor="accent1" w:themeShade="BF"/>
      <w:spacing w:val="10"/>
    </w:rPr>
  </w:style>
  <w:style w:type="character" w:customStyle="1" w:styleId="Overskrift6Tegn">
    <w:name w:val="Overskrift 6 Tegn"/>
    <w:basedOn w:val="Standardskrifttypeiafsnit"/>
    <w:link w:val="Overskrift6"/>
    <w:uiPriority w:val="9"/>
    <w:rsid w:val="00CC6381"/>
    <w:rPr>
      <w:caps/>
      <w:color w:val="365F91" w:themeColor="accent1" w:themeShade="BF"/>
      <w:spacing w:val="10"/>
    </w:rPr>
  </w:style>
  <w:style w:type="character" w:customStyle="1" w:styleId="Overskrift7Tegn">
    <w:name w:val="Overskrift 7 Tegn"/>
    <w:basedOn w:val="Standardskrifttypeiafsnit"/>
    <w:link w:val="Overskrift7"/>
    <w:uiPriority w:val="9"/>
    <w:rsid w:val="00CC6381"/>
    <w:rPr>
      <w:caps/>
      <w:color w:val="365F91" w:themeColor="accent1" w:themeShade="BF"/>
      <w:spacing w:val="10"/>
    </w:rPr>
  </w:style>
  <w:style w:type="character" w:customStyle="1" w:styleId="Overskrift8Tegn">
    <w:name w:val="Overskrift 8 Tegn"/>
    <w:basedOn w:val="Standardskrifttypeiafsnit"/>
    <w:link w:val="Overskrift8"/>
    <w:uiPriority w:val="9"/>
    <w:rsid w:val="00CC6381"/>
    <w:rPr>
      <w:caps/>
      <w:spacing w:val="10"/>
      <w:sz w:val="18"/>
      <w:szCs w:val="18"/>
    </w:rPr>
  </w:style>
  <w:style w:type="character" w:customStyle="1" w:styleId="Overskrift9Tegn">
    <w:name w:val="Overskrift 9 Tegn"/>
    <w:basedOn w:val="Standardskrifttypeiafsnit"/>
    <w:link w:val="Overskrift9"/>
    <w:uiPriority w:val="9"/>
    <w:rsid w:val="00CC6381"/>
    <w:rPr>
      <w:i/>
      <w:caps/>
      <w:spacing w:val="10"/>
      <w:sz w:val="18"/>
      <w:szCs w:val="18"/>
    </w:rPr>
  </w:style>
  <w:style w:type="paragraph" w:styleId="Billedtekst">
    <w:name w:val="caption"/>
    <w:basedOn w:val="Normal"/>
    <w:next w:val="Normal"/>
    <w:uiPriority w:val="35"/>
    <w:semiHidden/>
    <w:unhideWhenUsed/>
    <w:qFormat/>
    <w:rsid w:val="00CC6381"/>
    <w:rPr>
      <w:b/>
      <w:bCs/>
      <w:color w:val="365F91" w:themeColor="accent1" w:themeShade="BF"/>
      <w:sz w:val="16"/>
      <w:szCs w:val="16"/>
    </w:rPr>
  </w:style>
  <w:style w:type="paragraph" w:styleId="Titel">
    <w:name w:val="Title"/>
    <w:basedOn w:val="Normal"/>
    <w:next w:val="Normal"/>
    <w:link w:val="TitelTegn"/>
    <w:uiPriority w:val="10"/>
    <w:qFormat/>
    <w:rsid w:val="00CC6381"/>
    <w:pPr>
      <w:spacing w:before="720"/>
    </w:pPr>
    <w:rPr>
      <w:caps/>
      <w:color w:val="4F81BD" w:themeColor="accent1"/>
      <w:spacing w:val="10"/>
      <w:kern w:val="28"/>
      <w:sz w:val="52"/>
      <w:szCs w:val="52"/>
    </w:rPr>
  </w:style>
  <w:style w:type="character" w:customStyle="1" w:styleId="TitelTegn">
    <w:name w:val="Titel Tegn"/>
    <w:basedOn w:val="Standardskrifttypeiafsnit"/>
    <w:link w:val="Titel"/>
    <w:uiPriority w:val="10"/>
    <w:rsid w:val="00CC6381"/>
    <w:rPr>
      <w:caps/>
      <w:color w:val="4F81BD" w:themeColor="accent1"/>
      <w:spacing w:val="10"/>
      <w:kern w:val="28"/>
      <w:sz w:val="52"/>
      <w:szCs w:val="52"/>
    </w:rPr>
  </w:style>
  <w:style w:type="paragraph" w:styleId="Undertitel">
    <w:name w:val="Subtitle"/>
    <w:basedOn w:val="Normal"/>
    <w:next w:val="Normal"/>
    <w:link w:val="UndertitelTegn"/>
    <w:uiPriority w:val="11"/>
    <w:qFormat/>
    <w:rsid w:val="00CC6381"/>
    <w:pPr>
      <w:spacing w:after="1000"/>
    </w:pPr>
    <w:rPr>
      <w:caps/>
      <w:color w:val="595959" w:themeColor="text1" w:themeTint="A6"/>
      <w:spacing w:val="10"/>
      <w:sz w:val="24"/>
      <w:szCs w:val="24"/>
    </w:rPr>
  </w:style>
  <w:style w:type="character" w:customStyle="1" w:styleId="UndertitelTegn">
    <w:name w:val="Undertitel Tegn"/>
    <w:basedOn w:val="Standardskrifttypeiafsnit"/>
    <w:link w:val="Undertitel"/>
    <w:uiPriority w:val="11"/>
    <w:rsid w:val="00CC6381"/>
    <w:rPr>
      <w:caps/>
      <w:color w:val="595959" w:themeColor="text1" w:themeTint="A6"/>
      <w:spacing w:val="10"/>
      <w:sz w:val="24"/>
      <w:szCs w:val="24"/>
    </w:rPr>
  </w:style>
  <w:style w:type="character" w:styleId="Strk">
    <w:name w:val="Strong"/>
    <w:uiPriority w:val="22"/>
    <w:qFormat/>
    <w:rsid w:val="00CC6381"/>
    <w:rPr>
      <w:b/>
      <w:bCs/>
    </w:rPr>
  </w:style>
  <w:style w:type="character" w:styleId="Fremhv">
    <w:name w:val="Emphasis"/>
    <w:uiPriority w:val="20"/>
    <w:qFormat/>
    <w:rsid w:val="00CC6381"/>
    <w:rPr>
      <w:caps/>
      <w:color w:val="243F60" w:themeColor="accent1" w:themeShade="7F"/>
      <w:spacing w:val="5"/>
    </w:rPr>
  </w:style>
  <w:style w:type="paragraph" w:styleId="Listeafsnit">
    <w:name w:val="List Paragraph"/>
    <w:basedOn w:val="Normal"/>
    <w:uiPriority w:val="34"/>
    <w:qFormat/>
    <w:rsid w:val="00CC6381"/>
    <w:pPr>
      <w:ind w:left="720"/>
      <w:contextualSpacing/>
    </w:pPr>
  </w:style>
  <w:style w:type="paragraph" w:styleId="Citat">
    <w:name w:val="Quote"/>
    <w:basedOn w:val="Normal"/>
    <w:next w:val="Normal"/>
    <w:link w:val="CitatTegn"/>
    <w:uiPriority w:val="29"/>
    <w:qFormat/>
    <w:rsid w:val="00CC6381"/>
    <w:rPr>
      <w:i/>
      <w:iCs/>
    </w:rPr>
  </w:style>
  <w:style w:type="character" w:customStyle="1" w:styleId="CitatTegn">
    <w:name w:val="Citat Tegn"/>
    <w:basedOn w:val="Standardskrifttypeiafsnit"/>
    <w:link w:val="Citat"/>
    <w:uiPriority w:val="29"/>
    <w:rsid w:val="00CC6381"/>
    <w:rPr>
      <w:i/>
      <w:iCs/>
      <w:sz w:val="20"/>
      <w:szCs w:val="20"/>
    </w:rPr>
  </w:style>
  <w:style w:type="paragraph" w:styleId="Strktcitat">
    <w:name w:val="Intense Quote"/>
    <w:basedOn w:val="Normal"/>
    <w:next w:val="Normal"/>
    <w:link w:val="StrktcitatTegn"/>
    <w:uiPriority w:val="30"/>
    <w:qFormat/>
    <w:rsid w:val="00CC6381"/>
    <w:pPr>
      <w:pBdr>
        <w:top w:val="single" w:sz="4" w:space="10" w:color="4F81BD" w:themeColor="accent1"/>
        <w:left w:val="single" w:sz="4" w:space="10" w:color="4F81BD" w:themeColor="accent1"/>
      </w:pBdr>
      <w:spacing w:after="0"/>
      <w:ind w:left="1296" w:right="1152"/>
    </w:pPr>
    <w:rPr>
      <w:i/>
      <w:iCs/>
      <w:color w:val="4F81BD" w:themeColor="accent1"/>
    </w:rPr>
  </w:style>
  <w:style w:type="character" w:customStyle="1" w:styleId="StrktcitatTegn">
    <w:name w:val="Stærkt citat Tegn"/>
    <w:basedOn w:val="Standardskrifttypeiafsnit"/>
    <w:link w:val="Strktcitat"/>
    <w:uiPriority w:val="30"/>
    <w:rsid w:val="00CC6381"/>
    <w:rPr>
      <w:i/>
      <w:iCs/>
      <w:color w:val="4F81BD" w:themeColor="accent1"/>
      <w:sz w:val="20"/>
      <w:szCs w:val="20"/>
    </w:rPr>
  </w:style>
  <w:style w:type="character" w:styleId="Svagfremhvning">
    <w:name w:val="Subtle Emphasis"/>
    <w:uiPriority w:val="19"/>
    <w:qFormat/>
    <w:rsid w:val="00CC6381"/>
    <w:rPr>
      <w:i/>
      <w:iCs/>
      <w:color w:val="243F60" w:themeColor="accent1" w:themeShade="7F"/>
    </w:rPr>
  </w:style>
  <w:style w:type="character" w:styleId="Kraftigfremhvning">
    <w:name w:val="Intense Emphasis"/>
    <w:uiPriority w:val="21"/>
    <w:qFormat/>
    <w:rsid w:val="00CC6381"/>
    <w:rPr>
      <w:b/>
      <w:bCs/>
      <w:caps/>
      <w:color w:val="243F60" w:themeColor="accent1" w:themeShade="7F"/>
      <w:spacing w:val="10"/>
    </w:rPr>
  </w:style>
  <w:style w:type="character" w:styleId="Svaghenvisning">
    <w:name w:val="Subtle Reference"/>
    <w:uiPriority w:val="31"/>
    <w:qFormat/>
    <w:rsid w:val="00CC6381"/>
    <w:rPr>
      <w:b/>
      <w:bCs/>
      <w:color w:val="4F81BD" w:themeColor="accent1"/>
    </w:rPr>
  </w:style>
  <w:style w:type="character" w:styleId="Kraftighenvisning">
    <w:name w:val="Intense Reference"/>
    <w:uiPriority w:val="32"/>
    <w:qFormat/>
    <w:rsid w:val="00CC6381"/>
    <w:rPr>
      <w:b/>
      <w:bCs/>
      <w:i/>
      <w:iCs/>
      <w:caps/>
      <w:color w:val="4F81BD" w:themeColor="accent1"/>
    </w:rPr>
  </w:style>
  <w:style w:type="character" w:styleId="Bogenstitel">
    <w:name w:val="Book Title"/>
    <w:uiPriority w:val="33"/>
    <w:qFormat/>
    <w:rsid w:val="00CC6381"/>
    <w:rPr>
      <w:b/>
      <w:bCs/>
      <w:i/>
      <w:iCs/>
      <w:spacing w:val="9"/>
    </w:rPr>
  </w:style>
  <w:style w:type="paragraph" w:styleId="Overskrift">
    <w:name w:val="TOC Heading"/>
    <w:basedOn w:val="Overskrift1"/>
    <w:next w:val="Normal"/>
    <w:uiPriority w:val="39"/>
    <w:semiHidden/>
    <w:unhideWhenUsed/>
    <w:qFormat/>
    <w:rsid w:val="00CC6381"/>
    <w:pPr>
      <w:outlineLvl w:val="9"/>
    </w:pPr>
  </w:style>
  <w:style w:type="character" w:customStyle="1" w:styleId="IngenafstandTegn">
    <w:name w:val="Ingen afstand Tegn"/>
    <w:basedOn w:val="Standardskrifttypeiafsnit"/>
    <w:link w:val="Ingenafstand"/>
    <w:uiPriority w:val="1"/>
    <w:rsid w:val="00CC6381"/>
    <w:rPr>
      <w:sz w:val="20"/>
      <w:szCs w:val="20"/>
    </w:rPr>
  </w:style>
  <w:style w:type="character" w:styleId="Hyperlink">
    <w:name w:val="Hyperlink"/>
    <w:basedOn w:val="Standardskrifttypeiafsnit"/>
    <w:uiPriority w:val="99"/>
    <w:unhideWhenUsed/>
    <w:rsid w:val="002D3D7F"/>
    <w:rPr>
      <w:color w:val="337755"/>
      <w:u w:val="single"/>
    </w:rPr>
  </w:style>
  <w:style w:type="paragraph" w:styleId="NormalWeb">
    <w:name w:val="Normal (Web)"/>
    <w:basedOn w:val="Normal"/>
    <w:uiPriority w:val="99"/>
    <w:semiHidden/>
    <w:unhideWhenUsed/>
    <w:rsid w:val="002D3D7F"/>
    <w:pPr>
      <w:spacing w:before="240" w:after="240" w:line="240" w:lineRule="auto"/>
      <w:ind w:left="0"/>
    </w:pPr>
    <w:rPr>
      <w:rFonts w:ascii="Times New Roman" w:eastAsia="Times New Roman" w:hAnsi="Times New Roman" w:cs="Times New Roman"/>
      <w:color w:val="auto"/>
      <w:sz w:val="24"/>
      <w:szCs w:val="24"/>
      <w:lang w:val="da-DK" w:eastAsia="zh-CN"/>
    </w:rPr>
  </w:style>
  <w:style w:type="paragraph" w:styleId="Fodnotetekst">
    <w:name w:val="footnote text"/>
    <w:basedOn w:val="Normal"/>
    <w:link w:val="FodnotetekstTegn"/>
    <w:uiPriority w:val="99"/>
    <w:unhideWhenUsed/>
    <w:rsid w:val="00080576"/>
    <w:pPr>
      <w:spacing w:after="0" w:line="240" w:lineRule="auto"/>
    </w:pPr>
    <w:rPr>
      <w:rFonts w:eastAsiaTheme="minorEastAsia"/>
      <w:lang w:bidi="en-US"/>
    </w:rPr>
  </w:style>
  <w:style w:type="character" w:customStyle="1" w:styleId="FodnotetekstTegn">
    <w:name w:val="Fodnotetekst Tegn"/>
    <w:basedOn w:val="Standardskrifttypeiafsnit"/>
    <w:link w:val="Fodnotetekst"/>
    <w:uiPriority w:val="99"/>
    <w:rsid w:val="00080576"/>
    <w:rPr>
      <w:color w:val="5A5A5A" w:themeColor="text1" w:themeTint="A5"/>
      <w:sz w:val="20"/>
      <w:szCs w:val="20"/>
      <w:lang w:val="en-GB"/>
    </w:rPr>
  </w:style>
  <w:style w:type="character" w:styleId="Fodnotehenvisning">
    <w:name w:val="footnote reference"/>
    <w:basedOn w:val="Standardskrifttypeiafsnit"/>
    <w:uiPriority w:val="99"/>
    <w:semiHidden/>
    <w:unhideWhenUsed/>
    <w:rsid w:val="00080576"/>
    <w:rPr>
      <w:vertAlign w:val="superscript"/>
    </w:rPr>
  </w:style>
  <w:style w:type="paragraph" w:styleId="Sidehoved">
    <w:name w:val="header"/>
    <w:basedOn w:val="Normal"/>
    <w:link w:val="SidehovedTegn"/>
    <w:uiPriority w:val="99"/>
    <w:unhideWhenUsed/>
    <w:rsid w:val="00051B1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51B1D"/>
    <w:rPr>
      <w:rFonts w:eastAsiaTheme="minorHAnsi"/>
      <w:color w:val="5A5A5A" w:themeColor="text1" w:themeTint="A5"/>
      <w:sz w:val="20"/>
      <w:szCs w:val="20"/>
      <w:lang w:val="en-GB" w:bidi="ar-SA"/>
    </w:rPr>
  </w:style>
  <w:style w:type="paragraph" w:styleId="Sidefod">
    <w:name w:val="footer"/>
    <w:basedOn w:val="Normal"/>
    <w:link w:val="SidefodTegn"/>
    <w:uiPriority w:val="99"/>
    <w:unhideWhenUsed/>
    <w:rsid w:val="00051B1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51B1D"/>
    <w:rPr>
      <w:rFonts w:eastAsiaTheme="minorHAnsi"/>
      <w:color w:val="5A5A5A" w:themeColor="text1" w:themeTint="A5"/>
      <w:sz w:val="20"/>
      <w:szCs w:val="20"/>
      <w:lang w:val="en-GB" w:bidi="ar-SA"/>
    </w:rPr>
  </w:style>
  <w:style w:type="paragraph" w:styleId="Markeringsbobletekst">
    <w:name w:val="Balloon Text"/>
    <w:basedOn w:val="Normal"/>
    <w:link w:val="MarkeringsbobletekstTegn"/>
    <w:uiPriority w:val="99"/>
    <w:semiHidden/>
    <w:unhideWhenUsed/>
    <w:rsid w:val="00051B1D"/>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51B1D"/>
    <w:rPr>
      <w:rFonts w:ascii="Tahoma" w:eastAsiaTheme="minorHAnsi" w:hAnsi="Tahoma" w:cs="Tahoma"/>
      <w:color w:val="5A5A5A" w:themeColor="text1" w:themeTint="A5"/>
      <w:sz w:val="16"/>
      <w:szCs w:val="16"/>
      <w:lang w:val="en-GB" w:bidi="ar-SA"/>
    </w:rPr>
  </w:style>
  <w:style w:type="character" w:styleId="BesgtHyperlink">
    <w:name w:val="FollowedHyperlink"/>
    <w:basedOn w:val="Standardskrifttypeiafsnit"/>
    <w:uiPriority w:val="99"/>
    <w:semiHidden/>
    <w:unhideWhenUsed/>
    <w:rsid w:val="00843179"/>
    <w:rPr>
      <w:color w:val="7F7F7F" w:themeColor="followedHyperlink"/>
      <w:u w:val="single"/>
    </w:rPr>
  </w:style>
  <w:style w:type="character" w:styleId="Kommentarhenvisning">
    <w:name w:val="annotation reference"/>
    <w:basedOn w:val="Standardskrifttypeiafsnit"/>
    <w:uiPriority w:val="99"/>
    <w:semiHidden/>
    <w:unhideWhenUsed/>
    <w:rsid w:val="00F000E0"/>
    <w:rPr>
      <w:sz w:val="16"/>
      <w:szCs w:val="16"/>
    </w:rPr>
  </w:style>
  <w:style w:type="paragraph" w:styleId="Kommentartekst">
    <w:name w:val="annotation text"/>
    <w:basedOn w:val="Normal"/>
    <w:link w:val="KommentartekstTegn"/>
    <w:uiPriority w:val="99"/>
    <w:semiHidden/>
    <w:unhideWhenUsed/>
    <w:rsid w:val="00F000E0"/>
    <w:pPr>
      <w:spacing w:line="240" w:lineRule="auto"/>
    </w:pPr>
  </w:style>
  <w:style w:type="character" w:customStyle="1" w:styleId="KommentartekstTegn">
    <w:name w:val="Kommentartekst Tegn"/>
    <w:basedOn w:val="Standardskrifttypeiafsnit"/>
    <w:link w:val="Kommentartekst"/>
    <w:uiPriority w:val="99"/>
    <w:semiHidden/>
    <w:rsid w:val="00F000E0"/>
    <w:rPr>
      <w:rFonts w:eastAsiaTheme="minorHAnsi"/>
      <w:color w:val="5A5A5A" w:themeColor="text1" w:themeTint="A5"/>
      <w:sz w:val="20"/>
      <w:szCs w:val="20"/>
      <w:lang w:val="en-GB" w:bidi="ar-SA"/>
    </w:rPr>
  </w:style>
  <w:style w:type="paragraph" w:styleId="Kommentaremne">
    <w:name w:val="annotation subject"/>
    <w:basedOn w:val="Kommentartekst"/>
    <w:next w:val="Kommentartekst"/>
    <w:link w:val="KommentaremneTegn"/>
    <w:uiPriority w:val="99"/>
    <w:semiHidden/>
    <w:unhideWhenUsed/>
    <w:rsid w:val="00F000E0"/>
    <w:rPr>
      <w:b/>
      <w:bCs/>
    </w:rPr>
  </w:style>
  <w:style w:type="character" w:customStyle="1" w:styleId="KommentaremneTegn">
    <w:name w:val="Kommentaremne Tegn"/>
    <w:basedOn w:val="KommentartekstTegn"/>
    <w:link w:val="Kommentaremne"/>
    <w:uiPriority w:val="99"/>
    <w:semiHidden/>
    <w:rsid w:val="00F000E0"/>
    <w:rPr>
      <w:rFonts w:eastAsiaTheme="minorHAnsi"/>
      <w:b/>
      <w:bCs/>
      <w:color w:val="5A5A5A" w:themeColor="text1" w:themeTint="A5"/>
      <w:sz w:val="20"/>
      <w:szCs w:val="20"/>
      <w:lang w:val="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before="120"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98A"/>
    <w:pPr>
      <w:spacing w:before="0" w:after="160" w:line="288" w:lineRule="auto"/>
      <w:ind w:left="2160"/>
      <w:jc w:val="left"/>
    </w:pPr>
    <w:rPr>
      <w:rFonts w:eastAsiaTheme="minorHAnsi"/>
      <w:color w:val="5A5A5A" w:themeColor="text1" w:themeTint="A5"/>
      <w:sz w:val="20"/>
      <w:szCs w:val="20"/>
      <w:lang w:val="en-GB" w:bidi="ar-SA"/>
    </w:rPr>
  </w:style>
  <w:style w:type="paragraph" w:styleId="Overskrift1">
    <w:name w:val="heading 1"/>
    <w:basedOn w:val="Normal"/>
    <w:next w:val="Normal"/>
    <w:link w:val="Overskrift1Tegn"/>
    <w:uiPriority w:val="9"/>
    <w:qFormat/>
    <w:rsid w:val="00CC6381"/>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Overskrift2">
    <w:name w:val="heading 2"/>
    <w:basedOn w:val="Normal"/>
    <w:next w:val="Normal"/>
    <w:link w:val="Overskrift2Tegn"/>
    <w:uiPriority w:val="9"/>
    <w:unhideWhenUsed/>
    <w:qFormat/>
    <w:rsid w:val="00CC6381"/>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Overskrift3">
    <w:name w:val="heading 3"/>
    <w:basedOn w:val="Normal"/>
    <w:next w:val="Normal"/>
    <w:link w:val="Overskrift3Tegn"/>
    <w:uiPriority w:val="9"/>
    <w:unhideWhenUsed/>
    <w:qFormat/>
    <w:rsid w:val="00CC6381"/>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Overskrift4">
    <w:name w:val="heading 4"/>
    <w:basedOn w:val="Normal"/>
    <w:next w:val="Normal"/>
    <w:link w:val="Overskrift4Tegn"/>
    <w:uiPriority w:val="9"/>
    <w:unhideWhenUsed/>
    <w:qFormat/>
    <w:rsid w:val="00CC6381"/>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Overskrift5">
    <w:name w:val="heading 5"/>
    <w:basedOn w:val="Normal"/>
    <w:next w:val="Normal"/>
    <w:link w:val="Overskrift5Tegn"/>
    <w:uiPriority w:val="9"/>
    <w:unhideWhenUsed/>
    <w:qFormat/>
    <w:rsid w:val="00CC6381"/>
    <w:pPr>
      <w:pBdr>
        <w:bottom w:val="single" w:sz="6" w:space="1" w:color="4F81BD" w:themeColor="accent1"/>
      </w:pBdr>
      <w:spacing w:before="300" w:after="0"/>
      <w:outlineLvl w:val="4"/>
    </w:pPr>
    <w:rPr>
      <w:caps/>
      <w:color w:val="365F91" w:themeColor="accent1" w:themeShade="BF"/>
      <w:spacing w:val="10"/>
      <w:sz w:val="22"/>
      <w:szCs w:val="22"/>
    </w:rPr>
  </w:style>
  <w:style w:type="paragraph" w:styleId="Overskrift6">
    <w:name w:val="heading 6"/>
    <w:basedOn w:val="Normal"/>
    <w:next w:val="Normal"/>
    <w:link w:val="Overskrift6Tegn"/>
    <w:uiPriority w:val="9"/>
    <w:unhideWhenUsed/>
    <w:qFormat/>
    <w:rsid w:val="00CC6381"/>
    <w:pPr>
      <w:pBdr>
        <w:bottom w:val="dotted" w:sz="6" w:space="1" w:color="4F81BD" w:themeColor="accent1"/>
      </w:pBdr>
      <w:spacing w:before="300" w:after="0"/>
      <w:outlineLvl w:val="5"/>
    </w:pPr>
    <w:rPr>
      <w:caps/>
      <w:color w:val="365F91" w:themeColor="accent1" w:themeShade="BF"/>
      <w:spacing w:val="10"/>
      <w:sz w:val="22"/>
      <w:szCs w:val="22"/>
    </w:rPr>
  </w:style>
  <w:style w:type="paragraph" w:styleId="Overskrift7">
    <w:name w:val="heading 7"/>
    <w:basedOn w:val="Normal"/>
    <w:next w:val="Normal"/>
    <w:link w:val="Overskrift7Tegn"/>
    <w:uiPriority w:val="9"/>
    <w:unhideWhenUsed/>
    <w:qFormat/>
    <w:rsid w:val="00CC6381"/>
    <w:pPr>
      <w:spacing w:before="300" w:after="0"/>
      <w:outlineLvl w:val="6"/>
    </w:pPr>
    <w:rPr>
      <w:caps/>
      <w:color w:val="365F91" w:themeColor="accent1" w:themeShade="BF"/>
      <w:spacing w:val="10"/>
      <w:sz w:val="22"/>
      <w:szCs w:val="22"/>
    </w:rPr>
  </w:style>
  <w:style w:type="paragraph" w:styleId="Overskrift8">
    <w:name w:val="heading 8"/>
    <w:basedOn w:val="Normal"/>
    <w:next w:val="Normal"/>
    <w:link w:val="Overskrift8Tegn"/>
    <w:uiPriority w:val="9"/>
    <w:unhideWhenUsed/>
    <w:qFormat/>
    <w:rsid w:val="00CC6381"/>
    <w:pPr>
      <w:spacing w:before="300" w:after="0"/>
      <w:outlineLvl w:val="7"/>
    </w:pPr>
    <w:rPr>
      <w:caps/>
      <w:spacing w:val="10"/>
      <w:sz w:val="18"/>
      <w:szCs w:val="18"/>
    </w:rPr>
  </w:style>
  <w:style w:type="paragraph" w:styleId="Overskrift9">
    <w:name w:val="heading 9"/>
    <w:basedOn w:val="Normal"/>
    <w:next w:val="Normal"/>
    <w:link w:val="Overskrift9Tegn"/>
    <w:uiPriority w:val="9"/>
    <w:unhideWhenUsed/>
    <w:qFormat/>
    <w:rsid w:val="00CC6381"/>
    <w:pPr>
      <w:spacing w:before="300" w:after="0"/>
      <w:outlineLvl w:val="8"/>
    </w:pPr>
    <w:rPr>
      <w:i/>
      <w:caps/>
      <w:spacing w:val="10"/>
      <w:sz w:val="18"/>
      <w:szCs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C6381"/>
    <w:rPr>
      <w:b/>
      <w:bCs/>
      <w:caps/>
      <w:color w:val="FFFFFF" w:themeColor="background1"/>
      <w:spacing w:val="15"/>
      <w:shd w:val="clear" w:color="auto" w:fill="4F81BD" w:themeFill="accent1"/>
    </w:rPr>
  </w:style>
  <w:style w:type="paragraph" w:styleId="Ingenafstand">
    <w:name w:val="No Spacing"/>
    <w:basedOn w:val="Normal"/>
    <w:link w:val="IngenafstandTegn"/>
    <w:uiPriority w:val="1"/>
    <w:qFormat/>
    <w:rsid w:val="00CC6381"/>
    <w:pPr>
      <w:spacing w:after="0"/>
    </w:pPr>
  </w:style>
  <w:style w:type="character" w:customStyle="1" w:styleId="Overskrift2Tegn">
    <w:name w:val="Overskrift 2 Tegn"/>
    <w:basedOn w:val="Standardskrifttypeiafsnit"/>
    <w:link w:val="Overskrift2"/>
    <w:uiPriority w:val="9"/>
    <w:rsid w:val="00CC6381"/>
    <w:rPr>
      <w:caps/>
      <w:spacing w:val="15"/>
      <w:shd w:val="clear" w:color="auto" w:fill="DBE5F1" w:themeFill="accent1" w:themeFillTint="33"/>
    </w:rPr>
  </w:style>
  <w:style w:type="character" w:customStyle="1" w:styleId="Overskrift3Tegn">
    <w:name w:val="Overskrift 3 Tegn"/>
    <w:basedOn w:val="Standardskrifttypeiafsnit"/>
    <w:link w:val="Overskrift3"/>
    <w:uiPriority w:val="9"/>
    <w:rsid w:val="00CC6381"/>
    <w:rPr>
      <w:caps/>
      <w:color w:val="243F60" w:themeColor="accent1" w:themeShade="7F"/>
      <w:spacing w:val="15"/>
    </w:rPr>
  </w:style>
  <w:style w:type="character" w:customStyle="1" w:styleId="Overskrift4Tegn">
    <w:name w:val="Overskrift 4 Tegn"/>
    <w:basedOn w:val="Standardskrifttypeiafsnit"/>
    <w:link w:val="Overskrift4"/>
    <w:uiPriority w:val="9"/>
    <w:rsid w:val="00CC6381"/>
    <w:rPr>
      <w:caps/>
      <w:color w:val="365F91" w:themeColor="accent1" w:themeShade="BF"/>
      <w:spacing w:val="10"/>
    </w:rPr>
  </w:style>
  <w:style w:type="character" w:customStyle="1" w:styleId="Overskrift5Tegn">
    <w:name w:val="Overskrift 5 Tegn"/>
    <w:basedOn w:val="Standardskrifttypeiafsnit"/>
    <w:link w:val="Overskrift5"/>
    <w:uiPriority w:val="9"/>
    <w:rsid w:val="00CC6381"/>
    <w:rPr>
      <w:caps/>
      <w:color w:val="365F91" w:themeColor="accent1" w:themeShade="BF"/>
      <w:spacing w:val="10"/>
    </w:rPr>
  </w:style>
  <w:style w:type="character" w:customStyle="1" w:styleId="Overskrift6Tegn">
    <w:name w:val="Overskrift 6 Tegn"/>
    <w:basedOn w:val="Standardskrifttypeiafsnit"/>
    <w:link w:val="Overskrift6"/>
    <w:uiPriority w:val="9"/>
    <w:rsid w:val="00CC6381"/>
    <w:rPr>
      <w:caps/>
      <w:color w:val="365F91" w:themeColor="accent1" w:themeShade="BF"/>
      <w:spacing w:val="10"/>
    </w:rPr>
  </w:style>
  <w:style w:type="character" w:customStyle="1" w:styleId="Overskrift7Tegn">
    <w:name w:val="Overskrift 7 Tegn"/>
    <w:basedOn w:val="Standardskrifttypeiafsnit"/>
    <w:link w:val="Overskrift7"/>
    <w:uiPriority w:val="9"/>
    <w:rsid w:val="00CC6381"/>
    <w:rPr>
      <w:caps/>
      <w:color w:val="365F91" w:themeColor="accent1" w:themeShade="BF"/>
      <w:spacing w:val="10"/>
    </w:rPr>
  </w:style>
  <w:style w:type="character" w:customStyle="1" w:styleId="Overskrift8Tegn">
    <w:name w:val="Overskrift 8 Tegn"/>
    <w:basedOn w:val="Standardskrifttypeiafsnit"/>
    <w:link w:val="Overskrift8"/>
    <w:uiPriority w:val="9"/>
    <w:rsid w:val="00CC6381"/>
    <w:rPr>
      <w:caps/>
      <w:spacing w:val="10"/>
      <w:sz w:val="18"/>
      <w:szCs w:val="18"/>
    </w:rPr>
  </w:style>
  <w:style w:type="character" w:customStyle="1" w:styleId="Overskrift9Tegn">
    <w:name w:val="Overskrift 9 Tegn"/>
    <w:basedOn w:val="Standardskrifttypeiafsnit"/>
    <w:link w:val="Overskrift9"/>
    <w:uiPriority w:val="9"/>
    <w:rsid w:val="00CC6381"/>
    <w:rPr>
      <w:i/>
      <w:caps/>
      <w:spacing w:val="10"/>
      <w:sz w:val="18"/>
      <w:szCs w:val="18"/>
    </w:rPr>
  </w:style>
  <w:style w:type="paragraph" w:styleId="Billedtekst">
    <w:name w:val="caption"/>
    <w:basedOn w:val="Normal"/>
    <w:next w:val="Normal"/>
    <w:uiPriority w:val="35"/>
    <w:semiHidden/>
    <w:unhideWhenUsed/>
    <w:qFormat/>
    <w:rsid w:val="00CC6381"/>
    <w:rPr>
      <w:b/>
      <w:bCs/>
      <w:color w:val="365F91" w:themeColor="accent1" w:themeShade="BF"/>
      <w:sz w:val="16"/>
      <w:szCs w:val="16"/>
    </w:rPr>
  </w:style>
  <w:style w:type="paragraph" w:styleId="Titel">
    <w:name w:val="Title"/>
    <w:basedOn w:val="Normal"/>
    <w:next w:val="Normal"/>
    <w:link w:val="TitelTegn"/>
    <w:uiPriority w:val="10"/>
    <w:qFormat/>
    <w:rsid w:val="00CC6381"/>
    <w:pPr>
      <w:spacing w:before="720"/>
    </w:pPr>
    <w:rPr>
      <w:caps/>
      <w:color w:val="4F81BD" w:themeColor="accent1"/>
      <w:spacing w:val="10"/>
      <w:kern w:val="28"/>
      <w:sz w:val="52"/>
      <w:szCs w:val="52"/>
    </w:rPr>
  </w:style>
  <w:style w:type="character" w:customStyle="1" w:styleId="TitelTegn">
    <w:name w:val="Titel Tegn"/>
    <w:basedOn w:val="Standardskrifttypeiafsnit"/>
    <w:link w:val="Titel"/>
    <w:uiPriority w:val="10"/>
    <w:rsid w:val="00CC6381"/>
    <w:rPr>
      <w:caps/>
      <w:color w:val="4F81BD" w:themeColor="accent1"/>
      <w:spacing w:val="10"/>
      <w:kern w:val="28"/>
      <w:sz w:val="52"/>
      <w:szCs w:val="52"/>
    </w:rPr>
  </w:style>
  <w:style w:type="paragraph" w:styleId="Undertitel">
    <w:name w:val="Subtitle"/>
    <w:basedOn w:val="Normal"/>
    <w:next w:val="Normal"/>
    <w:link w:val="UndertitelTegn"/>
    <w:uiPriority w:val="11"/>
    <w:qFormat/>
    <w:rsid w:val="00CC6381"/>
    <w:pPr>
      <w:spacing w:after="1000"/>
    </w:pPr>
    <w:rPr>
      <w:caps/>
      <w:color w:val="595959" w:themeColor="text1" w:themeTint="A6"/>
      <w:spacing w:val="10"/>
      <w:sz w:val="24"/>
      <w:szCs w:val="24"/>
    </w:rPr>
  </w:style>
  <w:style w:type="character" w:customStyle="1" w:styleId="UndertitelTegn">
    <w:name w:val="Undertitel Tegn"/>
    <w:basedOn w:val="Standardskrifttypeiafsnit"/>
    <w:link w:val="Undertitel"/>
    <w:uiPriority w:val="11"/>
    <w:rsid w:val="00CC6381"/>
    <w:rPr>
      <w:caps/>
      <w:color w:val="595959" w:themeColor="text1" w:themeTint="A6"/>
      <w:spacing w:val="10"/>
      <w:sz w:val="24"/>
      <w:szCs w:val="24"/>
    </w:rPr>
  </w:style>
  <w:style w:type="character" w:styleId="Strk">
    <w:name w:val="Strong"/>
    <w:uiPriority w:val="22"/>
    <w:qFormat/>
    <w:rsid w:val="00CC6381"/>
    <w:rPr>
      <w:b/>
      <w:bCs/>
    </w:rPr>
  </w:style>
  <w:style w:type="character" w:styleId="Fremhv">
    <w:name w:val="Emphasis"/>
    <w:uiPriority w:val="20"/>
    <w:qFormat/>
    <w:rsid w:val="00CC6381"/>
    <w:rPr>
      <w:caps/>
      <w:color w:val="243F60" w:themeColor="accent1" w:themeShade="7F"/>
      <w:spacing w:val="5"/>
    </w:rPr>
  </w:style>
  <w:style w:type="paragraph" w:styleId="Listeafsnit">
    <w:name w:val="List Paragraph"/>
    <w:basedOn w:val="Normal"/>
    <w:uiPriority w:val="34"/>
    <w:qFormat/>
    <w:rsid w:val="00CC6381"/>
    <w:pPr>
      <w:ind w:left="720"/>
      <w:contextualSpacing/>
    </w:pPr>
  </w:style>
  <w:style w:type="paragraph" w:styleId="Citat">
    <w:name w:val="Quote"/>
    <w:basedOn w:val="Normal"/>
    <w:next w:val="Normal"/>
    <w:link w:val="CitatTegn"/>
    <w:uiPriority w:val="29"/>
    <w:qFormat/>
    <w:rsid w:val="00CC6381"/>
    <w:rPr>
      <w:i/>
      <w:iCs/>
    </w:rPr>
  </w:style>
  <w:style w:type="character" w:customStyle="1" w:styleId="CitatTegn">
    <w:name w:val="Citat Tegn"/>
    <w:basedOn w:val="Standardskrifttypeiafsnit"/>
    <w:link w:val="Citat"/>
    <w:uiPriority w:val="29"/>
    <w:rsid w:val="00CC6381"/>
    <w:rPr>
      <w:i/>
      <w:iCs/>
      <w:sz w:val="20"/>
      <w:szCs w:val="20"/>
    </w:rPr>
  </w:style>
  <w:style w:type="paragraph" w:styleId="Strktcitat">
    <w:name w:val="Intense Quote"/>
    <w:basedOn w:val="Normal"/>
    <w:next w:val="Normal"/>
    <w:link w:val="StrktcitatTegn"/>
    <w:uiPriority w:val="30"/>
    <w:qFormat/>
    <w:rsid w:val="00CC6381"/>
    <w:pPr>
      <w:pBdr>
        <w:top w:val="single" w:sz="4" w:space="10" w:color="4F81BD" w:themeColor="accent1"/>
        <w:left w:val="single" w:sz="4" w:space="10" w:color="4F81BD" w:themeColor="accent1"/>
      </w:pBdr>
      <w:spacing w:after="0"/>
      <w:ind w:left="1296" w:right="1152"/>
    </w:pPr>
    <w:rPr>
      <w:i/>
      <w:iCs/>
      <w:color w:val="4F81BD" w:themeColor="accent1"/>
    </w:rPr>
  </w:style>
  <w:style w:type="character" w:customStyle="1" w:styleId="StrktcitatTegn">
    <w:name w:val="Stærkt citat Tegn"/>
    <w:basedOn w:val="Standardskrifttypeiafsnit"/>
    <w:link w:val="Strktcitat"/>
    <w:uiPriority w:val="30"/>
    <w:rsid w:val="00CC6381"/>
    <w:rPr>
      <w:i/>
      <w:iCs/>
      <w:color w:val="4F81BD" w:themeColor="accent1"/>
      <w:sz w:val="20"/>
      <w:szCs w:val="20"/>
    </w:rPr>
  </w:style>
  <w:style w:type="character" w:styleId="Svagfremhvning">
    <w:name w:val="Subtle Emphasis"/>
    <w:uiPriority w:val="19"/>
    <w:qFormat/>
    <w:rsid w:val="00CC6381"/>
    <w:rPr>
      <w:i/>
      <w:iCs/>
      <w:color w:val="243F60" w:themeColor="accent1" w:themeShade="7F"/>
    </w:rPr>
  </w:style>
  <w:style w:type="character" w:styleId="Kraftigfremhvning">
    <w:name w:val="Intense Emphasis"/>
    <w:uiPriority w:val="21"/>
    <w:qFormat/>
    <w:rsid w:val="00CC6381"/>
    <w:rPr>
      <w:b/>
      <w:bCs/>
      <w:caps/>
      <w:color w:val="243F60" w:themeColor="accent1" w:themeShade="7F"/>
      <w:spacing w:val="10"/>
    </w:rPr>
  </w:style>
  <w:style w:type="character" w:styleId="Svaghenvisning">
    <w:name w:val="Subtle Reference"/>
    <w:uiPriority w:val="31"/>
    <w:qFormat/>
    <w:rsid w:val="00CC6381"/>
    <w:rPr>
      <w:b/>
      <w:bCs/>
      <w:color w:val="4F81BD" w:themeColor="accent1"/>
    </w:rPr>
  </w:style>
  <w:style w:type="character" w:styleId="Kraftighenvisning">
    <w:name w:val="Intense Reference"/>
    <w:uiPriority w:val="32"/>
    <w:qFormat/>
    <w:rsid w:val="00CC6381"/>
    <w:rPr>
      <w:b/>
      <w:bCs/>
      <w:i/>
      <w:iCs/>
      <w:caps/>
      <w:color w:val="4F81BD" w:themeColor="accent1"/>
    </w:rPr>
  </w:style>
  <w:style w:type="character" w:styleId="Bogenstitel">
    <w:name w:val="Book Title"/>
    <w:uiPriority w:val="33"/>
    <w:qFormat/>
    <w:rsid w:val="00CC6381"/>
    <w:rPr>
      <w:b/>
      <w:bCs/>
      <w:i/>
      <w:iCs/>
      <w:spacing w:val="9"/>
    </w:rPr>
  </w:style>
  <w:style w:type="paragraph" w:styleId="Overskrift">
    <w:name w:val="TOC Heading"/>
    <w:basedOn w:val="Overskrift1"/>
    <w:next w:val="Normal"/>
    <w:uiPriority w:val="39"/>
    <w:semiHidden/>
    <w:unhideWhenUsed/>
    <w:qFormat/>
    <w:rsid w:val="00CC6381"/>
    <w:pPr>
      <w:outlineLvl w:val="9"/>
    </w:pPr>
  </w:style>
  <w:style w:type="character" w:customStyle="1" w:styleId="IngenafstandTegn">
    <w:name w:val="Ingen afstand Tegn"/>
    <w:basedOn w:val="Standardskrifttypeiafsnit"/>
    <w:link w:val="Ingenafstand"/>
    <w:uiPriority w:val="1"/>
    <w:rsid w:val="00CC6381"/>
    <w:rPr>
      <w:sz w:val="20"/>
      <w:szCs w:val="20"/>
    </w:rPr>
  </w:style>
  <w:style w:type="character" w:styleId="Hyperlink">
    <w:name w:val="Hyperlink"/>
    <w:basedOn w:val="Standardskrifttypeiafsnit"/>
    <w:uiPriority w:val="99"/>
    <w:unhideWhenUsed/>
    <w:rsid w:val="002D3D7F"/>
    <w:rPr>
      <w:color w:val="337755"/>
      <w:u w:val="single"/>
    </w:rPr>
  </w:style>
  <w:style w:type="paragraph" w:styleId="NormalWeb">
    <w:name w:val="Normal (Web)"/>
    <w:basedOn w:val="Normal"/>
    <w:uiPriority w:val="99"/>
    <w:semiHidden/>
    <w:unhideWhenUsed/>
    <w:rsid w:val="002D3D7F"/>
    <w:pPr>
      <w:spacing w:before="240" w:after="240" w:line="240" w:lineRule="auto"/>
      <w:ind w:left="0"/>
    </w:pPr>
    <w:rPr>
      <w:rFonts w:ascii="Times New Roman" w:eastAsia="Times New Roman" w:hAnsi="Times New Roman" w:cs="Times New Roman"/>
      <w:color w:val="auto"/>
      <w:sz w:val="24"/>
      <w:szCs w:val="24"/>
      <w:lang w:val="da-DK" w:eastAsia="zh-CN"/>
    </w:rPr>
  </w:style>
  <w:style w:type="paragraph" w:styleId="Fodnotetekst">
    <w:name w:val="footnote text"/>
    <w:basedOn w:val="Normal"/>
    <w:link w:val="FodnotetekstTegn"/>
    <w:uiPriority w:val="99"/>
    <w:unhideWhenUsed/>
    <w:rsid w:val="00080576"/>
    <w:pPr>
      <w:spacing w:after="0" w:line="240" w:lineRule="auto"/>
    </w:pPr>
    <w:rPr>
      <w:rFonts w:eastAsiaTheme="minorEastAsia"/>
      <w:lang w:bidi="en-US"/>
    </w:rPr>
  </w:style>
  <w:style w:type="character" w:customStyle="1" w:styleId="FodnotetekstTegn">
    <w:name w:val="Fodnotetekst Tegn"/>
    <w:basedOn w:val="Standardskrifttypeiafsnit"/>
    <w:link w:val="Fodnotetekst"/>
    <w:uiPriority w:val="99"/>
    <w:rsid w:val="00080576"/>
    <w:rPr>
      <w:color w:val="5A5A5A" w:themeColor="text1" w:themeTint="A5"/>
      <w:sz w:val="20"/>
      <w:szCs w:val="20"/>
      <w:lang w:val="en-GB"/>
    </w:rPr>
  </w:style>
  <w:style w:type="character" w:styleId="Fodnotehenvisning">
    <w:name w:val="footnote reference"/>
    <w:basedOn w:val="Standardskrifttypeiafsnit"/>
    <w:uiPriority w:val="99"/>
    <w:semiHidden/>
    <w:unhideWhenUsed/>
    <w:rsid w:val="00080576"/>
    <w:rPr>
      <w:vertAlign w:val="superscript"/>
    </w:rPr>
  </w:style>
  <w:style w:type="paragraph" w:styleId="Sidehoved">
    <w:name w:val="header"/>
    <w:basedOn w:val="Normal"/>
    <w:link w:val="SidehovedTegn"/>
    <w:uiPriority w:val="99"/>
    <w:unhideWhenUsed/>
    <w:rsid w:val="00051B1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51B1D"/>
    <w:rPr>
      <w:rFonts w:eastAsiaTheme="minorHAnsi"/>
      <w:color w:val="5A5A5A" w:themeColor="text1" w:themeTint="A5"/>
      <w:sz w:val="20"/>
      <w:szCs w:val="20"/>
      <w:lang w:val="en-GB" w:bidi="ar-SA"/>
    </w:rPr>
  </w:style>
  <w:style w:type="paragraph" w:styleId="Sidefod">
    <w:name w:val="footer"/>
    <w:basedOn w:val="Normal"/>
    <w:link w:val="SidefodTegn"/>
    <w:uiPriority w:val="99"/>
    <w:unhideWhenUsed/>
    <w:rsid w:val="00051B1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51B1D"/>
    <w:rPr>
      <w:rFonts w:eastAsiaTheme="minorHAnsi"/>
      <w:color w:val="5A5A5A" w:themeColor="text1" w:themeTint="A5"/>
      <w:sz w:val="20"/>
      <w:szCs w:val="20"/>
      <w:lang w:val="en-GB" w:bidi="ar-SA"/>
    </w:rPr>
  </w:style>
  <w:style w:type="paragraph" w:styleId="Markeringsbobletekst">
    <w:name w:val="Balloon Text"/>
    <w:basedOn w:val="Normal"/>
    <w:link w:val="MarkeringsbobletekstTegn"/>
    <w:uiPriority w:val="99"/>
    <w:semiHidden/>
    <w:unhideWhenUsed/>
    <w:rsid w:val="00051B1D"/>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51B1D"/>
    <w:rPr>
      <w:rFonts w:ascii="Tahoma" w:eastAsiaTheme="minorHAnsi" w:hAnsi="Tahoma" w:cs="Tahoma"/>
      <w:color w:val="5A5A5A" w:themeColor="text1" w:themeTint="A5"/>
      <w:sz w:val="16"/>
      <w:szCs w:val="16"/>
      <w:lang w:val="en-GB" w:bidi="ar-SA"/>
    </w:rPr>
  </w:style>
  <w:style w:type="character" w:styleId="BesgtHyperlink">
    <w:name w:val="FollowedHyperlink"/>
    <w:basedOn w:val="Standardskrifttypeiafsnit"/>
    <w:uiPriority w:val="99"/>
    <w:semiHidden/>
    <w:unhideWhenUsed/>
    <w:rsid w:val="00843179"/>
    <w:rPr>
      <w:color w:val="7F7F7F" w:themeColor="followedHyperlink"/>
      <w:u w:val="single"/>
    </w:rPr>
  </w:style>
  <w:style w:type="character" w:styleId="Kommentarhenvisning">
    <w:name w:val="annotation reference"/>
    <w:basedOn w:val="Standardskrifttypeiafsnit"/>
    <w:uiPriority w:val="99"/>
    <w:semiHidden/>
    <w:unhideWhenUsed/>
    <w:rsid w:val="00F000E0"/>
    <w:rPr>
      <w:sz w:val="16"/>
      <w:szCs w:val="16"/>
    </w:rPr>
  </w:style>
  <w:style w:type="paragraph" w:styleId="Kommentartekst">
    <w:name w:val="annotation text"/>
    <w:basedOn w:val="Normal"/>
    <w:link w:val="KommentartekstTegn"/>
    <w:uiPriority w:val="99"/>
    <w:semiHidden/>
    <w:unhideWhenUsed/>
    <w:rsid w:val="00F000E0"/>
    <w:pPr>
      <w:spacing w:line="240" w:lineRule="auto"/>
    </w:pPr>
  </w:style>
  <w:style w:type="character" w:customStyle="1" w:styleId="KommentartekstTegn">
    <w:name w:val="Kommentartekst Tegn"/>
    <w:basedOn w:val="Standardskrifttypeiafsnit"/>
    <w:link w:val="Kommentartekst"/>
    <w:uiPriority w:val="99"/>
    <w:semiHidden/>
    <w:rsid w:val="00F000E0"/>
    <w:rPr>
      <w:rFonts w:eastAsiaTheme="minorHAnsi"/>
      <w:color w:val="5A5A5A" w:themeColor="text1" w:themeTint="A5"/>
      <w:sz w:val="20"/>
      <w:szCs w:val="20"/>
      <w:lang w:val="en-GB" w:bidi="ar-SA"/>
    </w:rPr>
  </w:style>
  <w:style w:type="paragraph" w:styleId="Kommentaremne">
    <w:name w:val="annotation subject"/>
    <w:basedOn w:val="Kommentartekst"/>
    <w:next w:val="Kommentartekst"/>
    <w:link w:val="KommentaremneTegn"/>
    <w:uiPriority w:val="99"/>
    <w:semiHidden/>
    <w:unhideWhenUsed/>
    <w:rsid w:val="00F000E0"/>
    <w:rPr>
      <w:b/>
      <w:bCs/>
    </w:rPr>
  </w:style>
  <w:style w:type="character" w:customStyle="1" w:styleId="KommentaremneTegn">
    <w:name w:val="Kommentaremne Tegn"/>
    <w:basedOn w:val="KommentartekstTegn"/>
    <w:link w:val="Kommentaremne"/>
    <w:uiPriority w:val="99"/>
    <w:semiHidden/>
    <w:rsid w:val="00F000E0"/>
    <w:rPr>
      <w:rFonts w:eastAsiaTheme="minorHAnsi"/>
      <w:b/>
      <w:bCs/>
      <w:color w:val="5A5A5A" w:themeColor="text1" w:themeTint="A5"/>
      <w:sz w:val="20"/>
      <w:szCs w:val="2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622975">
      <w:bodyDiv w:val="1"/>
      <w:marLeft w:val="0"/>
      <w:marRight w:val="0"/>
      <w:marTop w:val="0"/>
      <w:marBottom w:val="0"/>
      <w:divBdr>
        <w:top w:val="none" w:sz="0" w:space="0" w:color="auto"/>
        <w:left w:val="none" w:sz="0" w:space="0" w:color="auto"/>
        <w:bottom w:val="none" w:sz="0" w:space="0" w:color="auto"/>
        <w:right w:val="none" w:sz="0" w:space="0" w:color="auto"/>
      </w:divBdr>
      <w:divsChild>
        <w:div w:id="1994025477">
          <w:marLeft w:val="10"/>
          <w:marRight w:val="0"/>
          <w:marTop w:val="0"/>
          <w:marBottom w:val="0"/>
          <w:divBdr>
            <w:top w:val="none" w:sz="0" w:space="0" w:color="auto"/>
            <w:left w:val="none" w:sz="0" w:space="0" w:color="auto"/>
            <w:bottom w:val="none" w:sz="0" w:space="0" w:color="auto"/>
            <w:right w:val="none" w:sz="0" w:space="0" w:color="auto"/>
          </w:divBdr>
          <w:divsChild>
            <w:div w:id="6635868">
              <w:marLeft w:val="0"/>
              <w:marRight w:val="0"/>
              <w:marTop w:val="0"/>
              <w:marBottom w:val="0"/>
              <w:divBdr>
                <w:top w:val="dotted" w:sz="12" w:space="6" w:color="000000"/>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smagforlivet.dk/materialer/teksturkort-s%C3%A5dan-kan-du-beskrive-hvordan-maden-f%C3%B8les-i-munden" TargetMode="External"/><Relationship Id="rId2" Type="http://schemas.openxmlformats.org/officeDocument/2006/relationships/hyperlink" Target="http://www.smagforlivet.dk/sites/default/files/documents/Smag%20i%20alle%20fag.pdf" TargetMode="External"/><Relationship Id="rId1" Type="http://schemas.openxmlformats.org/officeDocument/2006/relationships/hyperlink" Target="http://www.smagforlivet.dk/materialer/pr%C3%B8v-selv-r%C3%B8dk%C3%A5len-der-skifter-farve" TargetMode="External"/><Relationship Id="rId4" Type="http://schemas.openxmlformats.org/officeDocument/2006/relationships/hyperlink" Target="http://www.smagforlivet.dk/sites/default/files/documents/Smag%20i%20alle%20fag.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89F7D3775504953BB03FFC9062623E2"/>
        <w:category>
          <w:name w:val="General"/>
          <w:gallery w:val="placeholder"/>
        </w:category>
        <w:types>
          <w:type w:val="bbPlcHdr"/>
        </w:types>
        <w:behaviors>
          <w:behavior w:val="content"/>
        </w:behaviors>
        <w:guid w:val="{E43D937A-7CE2-4D66-A404-7CF3DB860DCD}"/>
      </w:docPartPr>
      <w:docPartBody>
        <w:p w:rsidR="003956AC" w:rsidRDefault="003956AC" w:rsidP="003956AC">
          <w:pPr>
            <w:pStyle w:val="E89F7D3775504953BB03FFC9062623E2"/>
          </w:pPr>
          <w:r>
            <w:t>[Type the document title]</w:t>
          </w:r>
        </w:p>
      </w:docPartBody>
    </w:docPart>
    <w:docPart>
      <w:docPartPr>
        <w:name w:val="3DFDED1A897D467CAE87A3EEE98D8B04"/>
        <w:category>
          <w:name w:val="General"/>
          <w:gallery w:val="placeholder"/>
        </w:category>
        <w:types>
          <w:type w:val="bbPlcHdr"/>
        </w:types>
        <w:behaviors>
          <w:behavior w:val="content"/>
        </w:behaviors>
        <w:guid w:val="{B4DA905B-95B8-4D21-A29D-BE5B007953AC}"/>
      </w:docPartPr>
      <w:docPartBody>
        <w:p w:rsidR="003956AC" w:rsidRDefault="003956AC" w:rsidP="003956AC">
          <w:pPr>
            <w:pStyle w:val="3DFDED1A897D467CAE87A3EEE98D8B04"/>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Georgia,Italic">
    <w:panose1 w:val="00000000000000000000"/>
    <w:charset w:val="00"/>
    <w:family w:val="swiss"/>
    <w:notTrueType/>
    <w:pitch w:val="default"/>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2"/>
  </w:compat>
  <w:rsids>
    <w:rsidRoot w:val="003956AC"/>
    <w:rsid w:val="00023F5B"/>
    <w:rsid w:val="0006602F"/>
    <w:rsid w:val="000812F9"/>
    <w:rsid w:val="00096EA1"/>
    <w:rsid w:val="002F4DED"/>
    <w:rsid w:val="00306C82"/>
    <w:rsid w:val="003956AC"/>
    <w:rsid w:val="004221FB"/>
    <w:rsid w:val="005543F4"/>
    <w:rsid w:val="006512F3"/>
    <w:rsid w:val="00661673"/>
    <w:rsid w:val="006C2A63"/>
    <w:rsid w:val="006C332C"/>
    <w:rsid w:val="007221FB"/>
    <w:rsid w:val="0074515D"/>
    <w:rsid w:val="007B72DF"/>
    <w:rsid w:val="00805292"/>
    <w:rsid w:val="008A13C8"/>
    <w:rsid w:val="008F02EF"/>
    <w:rsid w:val="00916715"/>
    <w:rsid w:val="00916AD5"/>
    <w:rsid w:val="009D1354"/>
    <w:rsid w:val="009F5551"/>
    <w:rsid w:val="00A523EB"/>
    <w:rsid w:val="00A54176"/>
    <w:rsid w:val="00B02487"/>
    <w:rsid w:val="00B35F87"/>
    <w:rsid w:val="00B70B78"/>
    <w:rsid w:val="00B81F92"/>
    <w:rsid w:val="00C275C9"/>
    <w:rsid w:val="00C60843"/>
    <w:rsid w:val="00C610D9"/>
    <w:rsid w:val="00C641B4"/>
    <w:rsid w:val="00CC6476"/>
    <w:rsid w:val="00D10842"/>
    <w:rsid w:val="00D338E1"/>
    <w:rsid w:val="00D91EA3"/>
    <w:rsid w:val="00DC3422"/>
    <w:rsid w:val="00DF5A16"/>
    <w:rsid w:val="00E16EF4"/>
    <w:rsid w:val="00E77FEB"/>
    <w:rsid w:val="00ED46F5"/>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E89F7D3775504953BB03FFC9062623E2">
    <w:name w:val="E89F7D3775504953BB03FFC9062623E2"/>
    <w:rsid w:val="003956AC"/>
  </w:style>
  <w:style w:type="paragraph" w:customStyle="1" w:styleId="3DFDED1A897D467CAE87A3EEE98D8B04">
    <w:name w:val="3DFDED1A897D467CAE87A3EEE98D8B04"/>
    <w:rsid w:val="003956A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lhe1">
      <a:dk1>
        <a:sysClr val="windowText" lastClr="000000"/>
      </a:dk1>
      <a:lt1>
        <a:sysClr val="window" lastClr="FFFFFF"/>
      </a:lt1>
      <a:dk2>
        <a:srgbClr val="1F497D"/>
      </a:dk2>
      <a:lt2>
        <a:srgbClr val="EEECE1"/>
      </a:lt2>
      <a:accent1>
        <a:srgbClr val="4F81BD"/>
      </a:accent1>
      <a:accent2>
        <a:srgbClr val="95B3D7"/>
      </a:accent2>
      <a:accent3>
        <a:srgbClr val="C6D9F0"/>
      </a:accent3>
      <a:accent4>
        <a:srgbClr val="3F3F3F"/>
      </a:accent4>
      <a:accent5>
        <a:srgbClr val="595959"/>
      </a:accent5>
      <a:accent6>
        <a:srgbClr val="7F7F7F"/>
      </a:accent6>
      <a:hlink>
        <a:srgbClr val="7F7F7F"/>
      </a:hlink>
      <a:folHlink>
        <a:srgbClr val="7F7F7F"/>
      </a:folHlink>
    </a:clrScheme>
    <a:fontScheme name="lhe1_1">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127CE8-27CB-4CA2-942B-506455230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15</Pages>
  <Words>5296</Words>
  <Characters>32308</Characters>
  <Application>Microsoft Office Word</Application>
  <DocSecurity>0</DocSecurity>
  <Lines>269</Lines>
  <Paragraphs>75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Studier i pædagogisk filosofi</vt:lpstr>
      <vt:lpstr>Studier i pædagogisk filosofi</vt:lpstr>
    </vt:vector>
  </TitlesOfParts>
  <Company>University College Lillebælt</Company>
  <LinksUpToDate>false</LinksUpToDate>
  <CharactersWithSpaces>37529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Studier i pædagogisk filosofi</dc:title>
  <dc:creator>Liselotte Hedegaard</dc:creator>
  <cp:lastModifiedBy>Liselotte Hedegaard</cp:lastModifiedBy>
  <cp:revision>7</cp:revision>
  <dcterms:created xsi:type="dcterms:W3CDTF">2017-12-14T18:31:00Z</dcterms:created>
  <dcterms:modified xsi:type="dcterms:W3CDTF">2017-12-16T07:31:00Z</dcterms:modified>
</cp:coreProperties>
</file>