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AEBDD" w14:textId="59072587" w:rsidR="00074FCB" w:rsidRPr="000735B9" w:rsidRDefault="001E2149" w:rsidP="00074FCB">
      <w:pPr>
        <w:spacing w:line="276" w:lineRule="auto"/>
        <w:rPr>
          <w:rFonts w:asciiTheme="minorHAnsi" w:hAnsiTheme="minorHAnsi" w:cs="Aparajita"/>
          <w:b/>
          <w:sz w:val="28"/>
          <w:szCs w:val="22"/>
        </w:rPr>
      </w:pPr>
      <w:r w:rsidRPr="000735B9">
        <w:rPr>
          <w:rFonts w:asciiTheme="minorHAnsi" w:hAnsiTheme="minorHAnsi" w:cs="Aparajita"/>
          <w:b/>
          <w:sz w:val="28"/>
          <w:szCs w:val="22"/>
        </w:rPr>
        <w:t>Etisk afgørende øjeblikke</w:t>
      </w:r>
      <w:r w:rsidR="00074FCB" w:rsidRPr="000735B9">
        <w:rPr>
          <w:rFonts w:asciiTheme="minorHAnsi" w:hAnsiTheme="minorHAnsi" w:cs="Aparajita"/>
          <w:b/>
          <w:sz w:val="28"/>
          <w:szCs w:val="22"/>
        </w:rPr>
        <w:t xml:space="preserve"> – en pragmatisk-dualistisk forskningsetik</w:t>
      </w:r>
    </w:p>
    <w:p w14:paraId="2C310136" w14:textId="77777777" w:rsidR="003D618B" w:rsidRPr="000735B9" w:rsidRDefault="003D618B" w:rsidP="006859A9">
      <w:pPr>
        <w:spacing w:line="276" w:lineRule="auto"/>
        <w:rPr>
          <w:rFonts w:asciiTheme="minorHAnsi" w:hAnsiTheme="minorHAnsi"/>
        </w:rPr>
      </w:pPr>
    </w:p>
    <w:p w14:paraId="2125793E" w14:textId="77777777" w:rsidR="0069218F" w:rsidRDefault="00817B85" w:rsidP="006859A9">
      <w:pPr>
        <w:spacing w:line="276" w:lineRule="auto"/>
        <w:rPr>
          <w:rFonts w:asciiTheme="minorHAnsi" w:hAnsiTheme="minorHAnsi"/>
          <w:b/>
        </w:rPr>
      </w:pPr>
      <w:r w:rsidRPr="00BE050E">
        <w:rPr>
          <w:rFonts w:asciiTheme="minorHAnsi" w:hAnsiTheme="minorHAnsi"/>
          <w:b/>
        </w:rPr>
        <w:t>Abstract</w:t>
      </w:r>
    </w:p>
    <w:p w14:paraId="672B53ED" w14:textId="68A69D56" w:rsidR="003E3F57" w:rsidRPr="00230CE6" w:rsidRDefault="00E21C67" w:rsidP="006859A9">
      <w:pPr>
        <w:spacing w:line="276" w:lineRule="auto"/>
        <w:rPr>
          <w:rFonts w:asciiTheme="minorHAnsi" w:hAnsiTheme="minorHAnsi" w:cs="Aparajita"/>
          <w:sz w:val="20"/>
        </w:rPr>
      </w:pPr>
      <w:r w:rsidRPr="00230CE6">
        <w:rPr>
          <w:rFonts w:asciiTheme="minorHAnsi" w:hAnsiTheme="minorHAnsi"/>
          <w:sz w:val="20"/>
        </w:rPr>
        <w:t>Forskningseti</w:t>
      </w:r>
      <w:r w:rsidR="003E3F57" w:rsidRPr="00230CE6">
        <w:rPr>
          <w:rFonts w:asciiTheme="minorHAnsi" w:hAnsiTheme="minorHAnsi"/>
          <w:sz w:val="20"/>
        </w:rPr>
        <w:t>k handler om</w:t>
      </w:r>
      <w:r w:rsidR="00AC481A" w:rsidRPr="00230CE6">
        <w:rPr>
          <w:rFonts w:asciiTheme="minorHAnsi" w:hAnsiTheme="minorHAnsi"/>
          <w:sz w:val="20"/>
        </w:rPr>
        <w:t xml:space="preserve"> </w:t>
      </w:r>
      <w:r w:rsidR="000735B9">
        <w:rPr>
          <w:rFonts w:asciiTheme="minorHAnsi" w:hAnsiTheme="minorHAnsi"/>
          <w:sz w:val="20"/>
        </w:rPr>
        <w:t xml:space="preserve">samtlige </w:t>
      </w:r>
      <w:r w:rsidR="00AC481A" w:rsidRPr="00230CE6">
        <w:rPr>
          <w:rFonts w:asciiTheme="minorHAnsi" w:hAnsiTheme="minorHAnsi"/>
          <w:sz w:val="20"/>
        </w:rPr>
        <w:t>de etiske aspekter af forskning lige fra undfangelsen af en idé til formidlingen og konsekvenserne af den</w:t>
      </w:r>
      <w:r w:rsidR="003E3F57" w:rsidRPr="00230CE6">
        <w:rPr>
          <w:rFonts w:asciiTheme="minorHAnsi" w:hAnsiTheme="minorHAnsi"/>
          <w:sz w:val="20"/>
        </w:rPr>
        <w:t xml:space="preserve">. Derfor er det påfaldende, at forskningsetiske problemstillinger ofte blot har en slags appendikskarakter, hvor </w:t>
      </w:r>
      <w:r w:rsidR="00EE0DB2" w:rsidRPr="00230CE6">
        <w:rPr>
          <w:rFonts w:asciiTheme="minorHAnsi" w:hAnsiTheme="minorHAnsi"/>
          <w:sz w:val="20"/>
        </w:rPr>
        <w:t>de</w:t>
      </w:r>
      <w:r w:rsidR="009B7388" w:rsidRPr="00230CE6">
        <w:rPr>
          <w:rFonts w:asciiTheme="minorHAnsi" w:hAnsiTheme="minorHAnsi"/>
          <w:sz w:val="20"/>
        </w:rPr>
        <w:t>t i et</w:t>
      </w:r>
      <w:r w:rsidR="00EE0DB2" w:rsidRPr="00230CE6">
        <w:rPr>
          <w:rFonts w:asciiTheme="minorHAnsi" w:hAnsiTheme="minorHAnsi"/>
          <w:sz w:val="20"/>
        </w:rPr>
        <w:t xml:space="preserve"> kort, </w:t>
      </w:r>
      <w:r w:rsidR="003E3F57" w:rsidRPr="00230CE6">
        <w:rPr>
          <w:rFonts w:asciiTheme="minorHAnsi" w:hAnsiTheme="minorHAnsi"/>
          <w:sz w:val="20"/>
        </w:rPr>
        <w:t>separat afsnit fortæ</w:t>
      </w:r>
      <w:r w:rsidR="009B7388" w:rsidRPr="00230CE6">
        <w:rPr>
          <w:rFonts w:asciiTheme="minorHAnsi" w:hAnsiTheme="minorHAnsi"/>
          <w:sz w:val="20"/>
        </w:rPr>
        <w:t>lles</w:t>
      </w:r>
      <w:r w:rsidR="003E3F57" w:rsidRPr="00230CE6">
        <w:rPr>
          <w:rFonts w:asciiTheme="minorHAnsi" w:hAnsiTheme="minorHAnsi"/>
          <w:sz w:val="20"/>
        </w:rPr>
        <w:t xml:space="preserve">, </w:t>
      </w:r>
      <w:r w:rsidR="003E3F57" w:rsidRPr="00230CE6">
        <w:rPr>
          <w:rFonts w:asciiTheme="minorHAnsi" w:hAnsiTheme="minorHAnsi" w:cstheme="minorHAnsi"/>
          <w:sz w:val="20"/>
        </w:rPr>
        <w:t>at etiske retningslinjer</w:t>
      </w:r>
      <w:r w:rsidR="009B7388" w:rsidRPr="00230CE6">
        <w:rPr>
          <w:rFonts w:asciiTheme="minorHAnsi" w:hAnsiTheme="minorHAnsi" w:cstheme="minorHAnsi"/>
          <w:sz w:val="20"/>
        </w:rPr>
        <w:t xml:space="preserve"> er overholdt. </w:t>
      </w:r>
      <w:r w:rsidR="003E3F57" w:rsidRPr="00230CE6">
        <w:rPr>
          <w:rFonts w:asciiTheme="minorHAnsi" w:hAnsiTheme="minorHAnsi" w:cstheme="minorHAnsi"/>
          <w:sz w:val="20"/>
        </w:rPr>
        <w:t xml:space="preserve">I denne artikel </w:t>
      </w:r>
      <w:r w:rsidR="0069218F" w:rsidRPr="00230CE6">
        <w:rPr>
          <w:rFonts w:asciiTheme="minorHAnsi" w:hAnsiTheme="minorHAnsi" w:cstheme="minorHAnsi"/>
          <w:sz w:val="20"/>
        </w:rPr>
        <w:t>analyseres og diskuteres fors</w:t>
      </w:r>
      <w:r w:rsidR="00AC481A" w:rsidRPr="00230CE6">
        <w:rPr>
          <w:rFonts w:asciiTheme="minorHAnsi" w:hAnsiTheme="minorHAnsi" w:cstheme="minorHAnsi"/>
          <w:sz w:val="20"/>
        </w:rPr>
        <w:t>kningsetiske dilemmaer,</w:t>
      </w:r>
      <w:r w:rsidR="0069218F" w:rsidRPr="00230CE6">
        <w:rPr>
          <w:rFonts w:asciiTheme="minorHAnsi" w:hAnsiTheme="minorHAnsi" w:cstheme="minorHAnsi"/>
          <w:sz w:val="20"/>
        </w:rPr>
        <w:t xml:space="preserve"> ambivalenser</w:t>
      </w:r>
      <w:r w:rsidR="00AC481A" w:rsidRPr="00230CE6">
        <w:rPr>
          <w:rFonts w:asciiTheme="minorHAnsi" w:hAnsiTheme="minorHAnsi" w:cstheme="minorHAnsi"/>
          <w:sz w:val="20"/>
        </w:rPr>
        <w:t xml:space="preserve"> og problemstillinger</w:t>
      </w:r>
      <w:r w:rsidR="0069218F" w:rsidRPr="00230CE6">
        <w:rPr>
          <w:rFonts w:asciiTheme="minorHAnsi" w:hAnsiTheme="minorHAnsi" w:cstheme="minorHAnsi"/>
          <w:sz w:val="20"/>
        </w:rPr>
        <w:t>.</w:t>
      </w:r>
      <w:r w:rsidR="00487D77" w:rsidRPr="00230CE6">
        <w:rPr>
          <w:rFonts w:asciiTheme="minorHAnsi" w:hAnsiTheme="minorHAnsi" w:cstheme="minorHAnsi"/>
          <w:sz w:val="20"/>
        </w:rPr>
        <w:t xml:space="preserve"> Det gøres </w:t>
      </w:r>
      <w:r w:rsidR="009B7388" w:rsidRPr="00230CE6">
        <w:rPr>
          <w:rFonts w:asciiTheme="minorHAnsi" w:hAnsiTheme="minorHAnsi" w:cstheme="minorHAnsi"/>
          <w:sz w:val="20"/>
        </w:rPr>
        <w:t xml:space="preserve">først gennem </w:t>
      </w:r>
      <w:r w:rsidR="00743893" w:rsidRPr="00230CE6">
        <w:rPr>
          <w:rFonts w:asciiTheme="minorHAnsi" w:hAnsiTheme="minorHAnsi" w:cstheme="minorHAnsi"/>
          <w:sz w:val="20"/>
        </w:rPr>
        <w:t xml:space="preserve">en tentativ distinktion mellem </w:t>
      </w:r>
      <w:proofErr w:type="spellStart"/>
      <w:r w:rsidR="00743893" w:rsidRPr="00230CE6">
        <w:rPr>
          <w:rFonts w:asciiTheme="minorHAnsi" w:hAnsiTheme="minorHAnsi" w:cstheme="minorHAnsi"/>
          <w:i/>
          <w:sz w:val="20"/>
        </w:rPr>
        <w:t>p</w:t>
      </w:r>
      <w:r w:rsidR="003E3F57" w:rsidRPr="00230CE6">
        <w:rPr>
          <w:rFonts w:asciiTheme="minorHAnsi" w:hAnsiTheme="minorHAnsi" w:cs="Perpetua"/>
          <w:i/>
          <w:sz w:val="20"/>
        </w:rPr>
        <w:t>rocedural</w:t>
      </w:r>
      <w:proofErr w:type="spellEnd"/>
      <w:r w:rsidR="003E3F57" w:rsidRPr="00230CE6">
        <w:rPr>
          <w:rFonts w:asciiTheme="minorHAnsi" w:hAnsiTheme="minorHAnsi" w:cs="Perpetua"/>
          <w:i/>
          <w:sz w:val="20"/>
        </w:rPr>
        <w:t xml:space="preserve"> </w:t>
      </w:r>
      <w:r w:rsidR="003E3F57" w:rsidRPr="00230CE6">
        <w:rPr>
          <w:rFonts w:asciiTheme="minorHAnsi" w:hAnsiTheme="minorHAnsi" w:cs="Perpetua"/>
          <w:i/>
          <w:iCs/>
          <w:sz w:val="20"/>
        </w:rPr>
        <w:t>forskningsetik</w:t>
      </w:r>
      <w:r w:rsidR="00487D77" w:rsidRPr="00230CE6">
        <w:rPr>
          <w:rFonts w:asciiTheme="minorHAnsi" w:hAnsiTheme="minorHAnsi" w:cs="Perpetua"/>
          <w:iCs/>
          <w:sz w:val="20"/>
        </w:rPr>
        <w:t xml:space="preserve">, der bestemmes som </w:t>
      </w:r>
      <w:r w:rsidR="003E3F57" w:rsidRPr="00230CE6">
        <w:rPr>
          <w:rFonts w:asciiTheme="minorHAnsi" w:hAnsiTheme="minorHAnsi" w:cs="Perpetua"/>
          <w:iCs/>
          <w:sz w:val="20"/>
        </w:rPr>
        <w:t>på forhånd fastlagte retningslinjer</w:t>
      </w:r>
      <w:r w:rsidR="0069218F" w:rsidRPr="00230CE6">
        <w:rPr>
          <w:rFonts w:asciiTheme="minorHAnsi" w:hAnsiTheme="minorHAnsi" w:cs="Perpetua"/>
          <w:iCs/>
          <w:sz w:val="20"/>
        </w:rPr>
        <w:t xml:space="preserve"> </w:t>
      </w:r>
      <w:r w:rsidR="003E3F57" w:rsidRPr="00230CE6">
        <w:rPr>
          <w:rFonts w:asciiTheme="minorHAnsi" w:hAnsiTheme="minorHAnsi" w:cs="Perpetua"/>
          <w:iCs/>
          <w:sz w:val="20"/>
        </w:rPr>
        <w:t xml:space="preserve">formuleret i standardiserede, kontekstuafhængige principper for god forskningsetisk adfærd, </w:t>
      </w:r>
      <w:r w:rsidR="00487D77" w:rsidRPr="00230CE6">
        <w:rPr>
          <w:rFonts w:asciiTheme="minorHAnsi" w:hAnsiTheme="minorHAnsi" w:cs="Perpetua"/>
          <w:iCs/>
          <w:sz w:val="20"/>
        </w:rPr>
        <w:t xml:space="preserve">og </w:t>
      </w:r>
      <w:r w:rsidR="003E3F57" w:rsidRPr="00230CE6">
        <w:rPr>
          <w:rFonts w:asciiTheme="minorHAnsi" w:hAnsiTheme="minorHAnsi" w:cs="Perpetua"/>
          <w:i/>
          <w:sz w:val="20"/>
        </w:rPr>
        <w:t xml:space="preserve">partikularistisk </w:t>
      </w:r>
      <w:r w:rsidR="003E3F57" w:rsidRPr="00230CE6">
        <w:rPr>
          <w:rFonts w:asciiTheme="minorHAnsi" w:hAnsiTheme="minorHAnsi" w:cs="Perpetua"/>
          <w:i/>
          <w:iCs/>
          <w:sz w:val="20"/>
        </w:rPr>
        <w:t>forskningsetik</w:t>
      </w:r>
      <w:r w:rsidR="009B7388" w:rsidRPr="00230CE6">
        <w:rPr>
          <w:rFonts w:asciiTheme="minorHAnsi" w:hAnsiTheme="minorHAnsi" w:cs="Perpetua"/>
          <w:iCs/>
          <w:sz w:val="20"/>
        </w:rPr>
        <w:t xml:space="preserve">, der </w:t>
      </w:r>
      <w:r w:rsidR="0069218F" w:rsidRPr="00230CE6">
        <w:rPr>
          <w:rFonts w:asciiTheme="minorHAnsi" w:hAnsiTheme="minorHAnsi" w:cs="Perpetua"/>
          <w:iCs/>
          <w:sz w:val="20"/>
        </w:rPr>
        <w:t xml:space="preserve">tager udgangspunkt i en </w:t>
      </w:r>
      <w:r w:rsidR="003E3F57" w:rsidRPr="00230CE6">
        <w:rPr>
          <w:rFonts w:asciiTheme="minorHAnsi" w:hAnsiTheme="minorHAnsi" w:cs="Perpetua"/>
          <w:iCs/>
          <w:sz w:val="20"/>
        </w:rPr>
        <w:t>konkret og kontekstafhængig vurdering af de</w:t>
      </w:r>
      <w:r w:rsidR="0069218F" w:rsidRPr="00230CE6">
        <w:rPr>
          <w:rFonts w:asciiTheme="minorHAnsi" w:hAnsiTheme="minorHAnsi" w:cs="Perpetua"/>
          <w:iCs/>
          <w:sz w:val="20"/>
        </w:rPr>
        <w:t>n</w:t>
      </w:r>
      <w:r w:rsidR="003E3F57" w:rsidRPr="00230CE6">
        <w:rPr>
          <w:rFonts w:asciiTheme="minorHAnsi" w:hAnsiTheme="minorHAnsi" w:cs="Perpetua"/>
          <w:iCs/>
          <w:sz w:val="20"/>
        </w:rPr>
        <w:t xml:space="preserve"> spe</w:t>
      </w:r>
      <w:r w:rsidR="0069218F" w:rsidRPr="00230CE6">
        <w:rPr>
          <w:rFonts w:asciiTheme="minorHAnsi" w:hAnsiTheme="minorHAnsi" w:cs="Perpetua"/>
          <w:iCs/>
          <w:sz w:val="20"/>
        </w:rPr>
        <w:t>cifikke etiske problemstilling</w:t>
      </w:r>
      <w:r w:rsidR="003E3F57" w:rsidRPr="00230CE6">
        <w:rPr>
          <w:rFonts w:asciiTheme="minorHAnsi" w:hAnsiTheme="minorHAnsi" w:cs="Perpetua"/>
          <w:iCs/>
          <w:sz w:val="20"/>
        </w:rPr>
        <w:t xml:space="preserve">, </w:t>
      </w:r>
      <w:r w:rsidR="0069218F" w:rsidRPr="00230CE6">
        <w:rPr>
          <w:rFonts w:asciiTheme="minorHAnsi" w:hAnsiTheme="minorHAnsi" w:cs="Perpetua"/>
          <w:iCs/>
          <w:sz w:val="20"/>
        </w:rPr>
        <w:t>når</w:t>
      </w:r>
      <w:r w:rsidR="003E3F57" w:rsidRPr="00230CE6">
        <w:rPr>
          <w:rFonts w:asciiTheme="minorHAnsi" w:hAnsiTheme="minorHAnsi" w:cs="Perpetua"/>
          <w:iCs/>
          <w:sz w:val="20"/>
        </w:rPr>
        <w:t xml:space="preserve"> de</w:t>
      </w:r>
      <w:r w:rsidR="0069218F" w:rsidRPr="00230CE6">
        <w:rPr>
          <w:rFonts w:asciiTheme="minorHAnsi" w:hAnsiTheme="minorHAnsi" w:cs="Perpetua"/>
          <w:iCs/>
          <w:sz w:val="20"/>
        </w:rPr>
        <w:t>n</w:t>
      </w:r>
      <w:r w:rsidR="003E3F57" w:rsidRPr="00230CE6">
        <w:rPr>
          <w:rFonts w:asciiTheme="minorHAnsi" w:hAnsiTheme="minorHAnsi" w:cs="Perpetua"/>
          <w:iCs/>
          <w:sz w:val="20"/>
        </w:rPr>
        <w:t xml:space="preserve"> viser sig i praksis. En </w:t>
      </w:r>
      <w:r w:rsidR="003E3F57" w:rsidRPr="00230CE6">
        <w:rPr>
          <w:rFonts w:asciiTheme="minorHAnsi" w:hAnsiTheme="minorHAnsi" w:cs="Aparajita"/>
          <w:sz w:val="20"/>
        </w:rPr>
        <w:t xml:space="preserve">sådan distinktion er </w:t>
      </w:r>
      <w:r w:rsidR="00AC481A" w:rsidRPr="00230CE6">
        <w:rPr>
          <w:rFonts w:asciiTheme="minorHAnsi" w:hAnsiTheme="minorHAnsi" w:cs="Aparajita"/>
          <w:sz w:val="20"/>
        </w:rPr>
        <w:t xml:space="preserve">naturligvis </w:t>
      </w:r>
      <w:r w:rsidR="003E3F57" w:rsidRPr="00230CE6">
        <w:rPr>
          <w:rFonts w:asciiTheme="minorHAnsi" w:hAnsiTheme="minorHAnsi" w:cs="Aparajita"/>
          <w:sz w:val="20"/>
        </w:rPr>
        <w:t>udtryk for en teoretisk konstruktion og generalisering – i praksis kan der være g</w:t>
      </w:r>
      <w:r w:rsidR="0069218F" w:rsidRPr="00230CE6">
        <w:rPr>
          <w:rFonts w:asciiTheme="minorHAnsi" w:hAnsiTheme="minorHAnsi" w:cs="Aparajita"/>
          <w:sz w:val="20"/>
        </w:rPr>
        <w:t xml:space="preserve">anske nær sammenhæng mellem de to typer – og derfor bruges distinktionen efterfølgende som afsæt for </w:t>
      </w:r>
      <w:r w:rsidR="00AC481A" w:rsidRPr="00230CE6">
        <w:rPr>
          <w:rFonts w:asciiTheme="minorHAnsi" w:hAnsiTheme="minorHAnsi" w:cs="Aparajita"/>
          <w:sz w:val="20"/>
        </w:rPr>
        <w:t xml:space="preserve">præsentationen af </w:t>
      </w:r>
      <w:r w:rsidR="003E3F57" w:rsidRPr="00230CE6">
        <w:rPr>
          <w:rFonts w:asciiTheme="minorHAnsi" w:hAnsiTheme="minorHAnsi" w:cs="Aparajita"/>
          <w:sz w:val="20"/>
        </w:rPr>
        <w:t xml:space="preserve">en </w:t>
      </w:r>
      <w:r w:rsidR="003E3F57" w:rsidRPr="00230CE6">
        <w:rPr>
          <w:rFonts w:asciiTheme="minorHAnsi" w:hAnsiTheme="minorHAnsi" w:cs="Aparajita"/>
          <w:i/>
          <w:sz w:val="20"/>
        </w:rPr>
        <w:t xml:space="preserve">pragmatisk-dualistisk </w:t>
      </w:r>
      <w:r w:rsidR="0069218F" w:rsidRPr="00230CE6">
        <w:rPr>
          <w:rFonts w:asciiTheme="minorHAnsi" w:hAnsiTheme="minorHAnsi" w:cs="Aparajita"/>
          <w:i/>
          <w:sz w:val="20"/>
        </w:rPr>
        <w:t>forskningsetik</w:t>
      </w:r>
      <w:r w:rsidR="003E3F57" w:rsidRPr="00230CE6">
        <w:rPr>
          <w:rFonts w:asciiTheme="minorHAnsi" w:hAnsiTheme="minorHAnsi" w:cs="Aparajita"/>
          <w:sz w:val="20"/>
        </w:rPr>
        <w:t xml:space="preserve">, der både trækker på selvstændigheden og væsensforskelligheden mellem </w:t>
      </w:r>
      <w:r w:rsidR="0069218F" w:rsidRPr="00230CE6">
        <w:rPr>
          <w:rFonts w:asciiTheme="minorHAnsi" w:hAnsiTheme="minorHAnsi" w:cs="Aparajita"/>
          <w:sz w:val="20"/>
        </w:rPr>
        <w:t>de to typer</w:t>
      </w:r>
      <w:r w:rsidR="003E3F57" w:rsidRPr="00230CE6">
        <w:rPr>
          <w:rFonts w:asciiTheme="minorHAnsi" w:hAnsiTheme="minorHAnsi" w:cs="Aparajita"/>
          <w:sz w:val="20"/>
        </w:rPr>
        <w:t xml:space="preserve"> og samtidig er konstrueret med henblik på, hvad der er hensigtsmæssigt og realistisk at gøre i konkret forskningspraksis. Intentionen med artiklen er således både at analysere og diskutere to forskellige forståelser af forskningsetik og samtidig kvalificere en forskningsetik, der trækker på begge disse forståelser.</w:t>
      </w:r>
      <w:r w:rsidR="003E3F57" w:rsidRPr="00230CE6">
        <w:rPr>
          <w:rFonts w:asciiTheme="minorHAnsi" w:hAnsiTheme="minorHAnsi" w:cs="Aparajita"/>
          <w:sz w:val="11"/>
        </w:rPr>
        <w:t xml:space="preserve"> </w:t>
      </w:r>
    </w:p>
    <w:p w14:paraId="2D4FEB97" w14:textId="043F87CA" w:rsidR="00E21C67" w:rsidRDefault="00E21C67" w:rsidP="006859A9">
      <w:pPr>
        <w:spacing w:line="276" w:lineRule="auto"/>
        <w:rPr>
          <w:rFonts w:asciiTheme="minorHAnsi" w:hAnsiTheme="minorHAnsi"/>
        </w:rPr>
      </w:pPr>
    </w:p>
    <w:p w14:paraId="4AA22422" w14:textId="67C76CD2" w:rsidR="00817B85" w:rsidRPr="00BE050E" w:rsidRDefault="000735B9" w:rsidP="006859A9">
      <w:pPr>
        <w:spacing w:line="276" w:lineRule="auto"/>
        <w:rPr>
          <w:rFonts w:asciiTheme="minorHAnsi" w:hAnsiTheme="minorHAnsi"/>
        </w:rPr>
      </w:pPr>
      <w:r>
        <w:rPr>
          <w:rFonts w:asciiTheme="minorHAnsi" w:hAnsiTheme="minorHAnsi"/>
          <w:b/>
        </w:rPr>
        <w:t>Nøgleord</w:t>
      </w:r>
      <w:r w:rsidR="00817B85" w:rsidRPr="00BE050E">
        <w:rPr>
          <w:rFonts w:asciiTheme="minorHAnsi" w:hAnsiTheme="minorHAnsi"/>
        </w:rPr>
        <w:t xml:space="preserve">: </w:t>
      </w:r>
      <w:r w:rsidR="00B047A8" w:rsidRPr="00BE050E">
        <w:rPr>
          <w:rFonts w:asciiTheme="minorHAnsi" w:hAnsiTheme="minorHAnsi"/>
        </w:rPr>
        <w:t xml:space="preserve">forskningsetik, partikularistisk, </w:t>
      </w:r>
      <w:proofErr w:type="spellStart"/>
      <w:r w:rsidR="00B047A8" w:rsidRPr="00BE050E">
        <w:rPr>
          <w:rFonts w:asciiTheme="minorHAnsi" w:hAnsiTheme="minorHAnsi"/>
        </w:rPr>
        <w:t>procedural</w:t>
      </w:r>
      <w:proofErr w:type="spellEnd"/>
      <w:r w:rsidR="00B047A8" w:rsidRPr="00BE050E">
        <w:rPr>
          <w:rFonts w:asciiTheme="minorHAnsi" w:hAnsiTheme="minorHAnsi"/>
        </w:rPr>
        <w:t xml:space="preserve">, </w:t>
      </w:r>
      <w:r w:rsidR="004C3573" w:rsidRPr="00BE050E">
        <w:rPr>
          <w:rFonts w:asciiTheme="minorHAnsi" w:hAnsiTheme="minorHAnsi"/>
        </w:rPr>
        <w:t xml:space="preserve">pragmatisk, dualistisk, </w:t>
      </w:r>
      <w:r w:rsidR="00DC08A6" w:rsidRPr="00BE050E">
        <w:rPr>
          <w:rFonts w:asciiTheme="minorHAnsi" w:hAnsiTheme="minorHAnsi"/>
        </w:rPr>
        <w:t>dilemmaer</w:t>
      </w:r>
    </w:p>
    <w:p w14:paraId="3E09A763" w14:textId="77777777" w:rsidR="00817B85" w:rsidRPr="00BE050E" w:rsidRDefault="00817B85" w:rsidP="006859A9">
      <w:pPr>
        <w:spacing w:line="276" w:lineRule="auto"/>
        <w:rPr>
          <w:rFonts w:asciiTheme="minorHAnsi" w:hAnsiTheme="minorHAnsi"/>
        </w:rPr>
      </w:pPr>
    </w:p>
    <w:p w14:paraId="420687FE" w14:textId="77777777" w:rsidR="00670A59" w:rsidRDefault="00670A59" w:rsidP="00683DCB">
      <w:pPr>
        <w:spacing w:line="276" w:lineRule="auto"/>
        <w:rPr>
          <w:rFonts w:asciiTheme="minorHAnsi" w:hAnsiTheme="minorHAnsi"/>
          <w:b/>
        </w:rPr>
      </w:pPr>
    </w:p>
    <w:p w14:paraId="348F0204" w14:textId="6D4D1AB5" w:rsidR="00670A59" w:rsidRPr="00670A59" w:rsidRDefault="00670A59" w:rsidP="00683DCB">
      <w:pPr>
        <w:spacing w:line="276" w:lineRule="auto"/>
        <w:rPr>
          <w:rFonts w:asciiTheme="minorHAnsi" w:hAnsiTheme="minorHAnsi"/>
          <w:b/>
        </w:rPr>
      </w:pPr>
      <w:r w:rsidRPr="00670A59">
        <w:rPr>
          <w:rFonts w:asciiTheme="minorHAnsi" w:hAnsiTheme="minorHAnsi"/>
          <w:b/>
        </w:rPr>
        <w:t>Indledende overvejelser</w:t>
      </w:r>
    </w:p>
    <w:p w14:paraId="2CE0BFE9" w14:textId="776C164A" w:rsidR="00683DCB" w:rsidRPr="00BE050E" w:rsidRDefault="00A57B3E" w:rsidP="00683DCB">
      <w:pPr>
        <w:spacing w:line="276" w:lineRule="auto"/>
        <w:rPr>
          <w:rFonts w:asciiTheme="minorHAnsi" w:eastAsiaTheme="minorEastAsia" w:hAnsiTheme="minorHAnsi" w:cs="Helvetica"/>
          <w:lang w:eastAsia="da-DK"/>
        </w:rPr>
      </w:pPr>
      <w:r w:rsidRPr="00BE050E">
        <w:rPr>
          <w:rFonts w:asciiTheme="minorHAnsi" w:hAnsiTheme="minorHAnsi"/>
        </w:rPr>
        <w:t xml:space="preserve">For nogle år siden </w:t>
      </w:r>
      <w:r w:rsidR="000956C3" w:rsidRPr="00BE050E">
        <w:rPr>
          <w:rFonts w:asciiTheme="minorHAnsi" w:hAnsiTheme="minorHAnsi"/>
        </w:rPr>
        <w:t>er</w:t>
      </w:r>
      <w:r w:rsidRPr="00BE050E">
        <w:rPr>
          <w:rFonts w:asciiTheme="minorHAnsi" w:hAnsiTheme="minorHAnsi"/>
        </w:rPr>
        <w:t xml:space="preserve"> der en sag i Norge, der</w:t>
      </w:r>
      <w:r w:rsidR="003C5317" w:rsidRPr="00BE050E">
        <w:rPr>
          <w:rFonts w:asciiTheme="minorHAnsi" w:hAnsiTheme="minorHAnsi"/>
        </w:rPr>
        <w:t xml:space="preserve"> </w:t>
      </w:r>
      <w:r w:rsidR="000956C3" w:rsidRPr="00BE050E">
        <w:rPr>
          <w:rFonts w:asciiTheme="minorHAnsi" w:hAnsiTheme="minorHAnsi"/>
        </w:rPr>
        <w:t>optager</w:t>
      </w:r>
      <w:r w:rsidR="003C5317" w:rsidRPr="00BE050E">
        <w:rPr>
          <w:rFonts w:asciiTheme="minorHAnsi" w:hAnsiTheme="minorHAnsi"/>
        </w:rPr>
        <w:t xml:space="preserve"> mig meget. Sagen handler</w:t>
      </w:r>
      <w:r w:rsidRPr="00BE050E">
        <w:rPr>
          <w:rFonts w:asciiTheme="minorHAnsi" w:hAnsiTheme="minorHAnsi"/>
        </w:rPr>
        <w:t xml:space="preserve"> om en forsker, der gennem en længere periode </w:t>
      </w:r>
      <w:r w:rsidR="003C5317" w:rsidRPr="00BE050E">
        <w:rPr>
          <w:rFonts w:asciiTheme="minorHAnsi" w:hAnsiTheme="minorHAnsi"/>
        </w:rPr>
        <w:t>har</w:t>
      </w:r>
      <w:r w:rsidRPr="00BE050E">
        <w:rPr>
          <w:rFonts w:asciiTheme="minorHAnsi" w:hAnsiTheme="minorHAnsi"/>
        </w:rPr>
        <w:t xml:space="preserve"> udført feltarbejde i et </w:t>
      </w:r>
      <w:r w:rsidRPr="00BE050E">
        <w:rPr>
          <w:rFonts w:asciiTheme="minorHAnsi" w:hAnsiTheme="minorHAnsi" w:cs="Aparajita"/>
        </w:rPr>
        <w:t xml:space="preserve">højreekstremistisk miljø, og som nu </w:t>
      </w:r>
      <w:r w:rsidR="003C5317" w:rsidRPr="00BE050E">
        <w:rPr>
          <w:rFonts w:asciiTheme="minorHAnsi" w:hAnsiTheme="minorHAnsi" w:cs="Aparajita"/>
        </w:rPr>
        <w:t>er</w:t>
      </w:r>
      <w:r w:rsidRPr="00BE050E">
        <w:rPr>
          <w:rFonts w:asciiTheme="minorHAnsi" w:hAnsiTheme="minorHAnsi" w:cs="Aparajita"/>
        </w:rPr>
        <w:t xml:space="preserve"> fanget i et dilemma om fortrolighed. Forskeren </w:t>
      </w:r>
      <w:r w:rsidR="003C5317" w:rsidRPr="00BE050E">
        <w:rPr>
          <w:rFonts w:asciiTheme="minorHAnsi" w:hAnsiTheme="minorHAnsi" w:cs="Aparajita"/>
        </w:rPr>
        <w:t>har</w:t>
      </w:r>
      <w:r w:rsidR="006859A9" w:rsidRPr="00BE050E">
        <w:rPr>
          <w:rFonts w:asciiTheme="minorHAnsi" w:hAnsiTheme="minorHAnsi" w:cs="Aparajita"/>
        </w:rPr>
        <w:t xml:space="preserve"> på et tidspunkt været vi</w:t>
      </w:r>
      <w:r w:rsidR="003C5317" w:rsidRPr="00BE050E">
        <w:rPr>
          <w:rFonts w:asciiTheme="minorHAnsi" w:hAnsiTheme="minorHAnsi" w:cs="Aparajita"/>
        </w:rPr>
        <w:t>dende om, at højreradikale vil</w:t>
      </w:r>
      <w:r w:rsidR="006859A9" w:rsidRPr="00BE050E">
        <w:rPr>
          <w:rFonts w:asciiTheme="minorHAnsi" w:hAnsiTheme="minorHAnsi" w:cs="Aparajita"/>
        </w:rPr>
        <w:t xml:space="preserve"> angri</w:t>
      </w:r>
      <w:r w:rsidR="00704A55" w:rsidRPr="00BE050E">
        <w:rPr>
          <w:rFonts w:asciiTheme="minorHAnsi" w:hAnsiTheme="minorHAnsi" w:cs="Aparajita"/>
        </w:rPr>
        <w:t xml:space="preserve">be </w:t>
      </w:r>
      <w:r w:rsidRPr="00BE050E">
        <w:rPr>
          <w:rFonts w:asciiTheme="minorHAnsi" w:hAnsiTheme="minorHAnsi" w:cs="Aparajita"/>
        </w:rPr>
        <w:t xml:space="preserve">det såkaldte Blitz-miljø, </w:t>
      </w:r>
      <w:r w:rsidR="002528A7" w:rsidRPr="00BE050E">
        <w:rPr>
          <w:rFonts w:asciiTheme="minorHAnsi" w:hAnsiTheme="minorHAnsi" w:cs="Aparajita"/>
        </w:rPr>
        <w:t>der</w:t>
      </w:r>
      <w:r w:rsidR="00DE4926" w:rsidRPr="00BE050E">
        <w:rPr>
          <w:rFonts w:asciiTheme="minorHAnsi" w:hAnsiTheme="minorHAnsi" w:cs="Aparajita"/>
        </w:rPr>
        <w:t xml:space="preserve"> er </w:t>
      </w:r>
      <w:r w:rsidR="00704A55" w:rsidRPr="00BE050E">
        <w:rPr>
          <w:rFonts w:asciiTheme="minorHAnsi" w:hAnsiTheme="minorHAnsi" w:cs="Aparajita"/>
        </w:rPr>
        <w:t>centrum for Oslos punkere, anarkister og venstresocialister</w:t>
      </w:r>
      <w:r w:rsidR="00DE4926" w:rsidRPr="00BE050E">
        <w:rPr>
          <w:rFonts w:asciiTheme="minorHAnsi" w:hAnsiTheme="minorHAnsi" w:cs="Aparajita"/>
        </w:rPr>
        <w:t xml:space="preserve">, </w:t>
      </w:r>
      <w:r w:rsidRPr="00BE050E">
        <w:rPr>
          <w:rFonts w:asciiTheme="minorHAnsi" w:hAnsiTheme="minorHAnsi" w:cs="Aparajita"/>
        </w:rPr>
        <w:t>men a</w:t>
      </w:r>
      <w:r w:rsidR="006859A9" w:rsidRPr="00BE050E">
        <w:rPr>
          <w:rFonts w:asciiTheme="minorHAnsi" w:hAnsiTheme="minorHAnsi" w:cs="Aparajita"/>
        </w:rPr>
        <w:t xml:space="preserve">f fortrolighedshensyn </w:t>
      </w:r>
      <w:r w:rsidR="003C5317" w:rsidRPr="00BE050E">
        <w:rPr>
          <w:rFonts w:asciiTheme="minorHAnsi" w:hAnsiTheme="minorHAnsi" w:cs="Aparajita"/>
        </w:rPr>
        <w:t>har</w:t>
      </w:r>
      <w:r w:rsidR="006878A9" w:rsidRPr="00BE050E">
        <w:rPr>
          <w:rFonts w:asciiTheme="minorHAnsi" w:hAnsiTheme="minorHAnsi" w:cs="Aparajita"/>
        </w:rPr>
        <w:t xml:space="preserve"> hun undladt at anmelde </w:t>
      </w:r>
      <w:r w:rsidR="00704A55" w:rsidRPr="00BE050E">
        <w:rPr>
          <w:rFonts w:asciiTheme="minorHAnsi" w:hAnsiTheme="minorHAnsi" w:cs="Aparajita"/>
        </w:rPr>
        <w:t>det</w:t>
      </w:r>
      <w:r w:rsidR="006859A9" w:rsidRPr="00BE050E">
        <w:rPr>
          <w:rFonts w:asciiTheme="minorHAnsi" w:hAnsiTheme="minorHAnsi" w:cs="Aparajita"/>
        </w:rPr>
        <w:t xml:space="preserve">. Efter </w:t>
      </w:r>
      <w:r w:rsidR="00704A55" w:rsidRPr="00BE050E">
        <w:rPr>
          <w:rFonts w:asciiTheme="minorHAnsi" w:hAnsiTheme="minorHAnsi" w:cs="Aparajita"/>
        </w:rPr>
        <w:t>hun</w:t>
      </w:r>
      <w:r w:rsidR="006859A9" w:rsidRPr="00BE050E">
        <w:rPr>
          <w:rFonts w:asciiTheme="minorHAnsi" w:hAnsiTheme="minorHAnsi" w:cs="Aparajita"/>
        </w:rPr>
        <w:t xml:space="preserve"> </w:t>
      </w:r>
      <w:r w:rsidR="003C5317" w:rsidRPr="00BE050E">
        <w:rPr>
          <w:rFonts w:asciiTheme="minorHAnsi" w:hAnsiTheme="minorHAnsi" w:cs="Aparajita"/>
        </w:rPr>
        <w:t>har</w:t>
      </w:r>
      <w:r w:rsidR="006859A9" w:rsidRPr="00BE050E">
        <w:rPr>
          <w:rFonts w:asciiTheme="minorHAnsi" w:hAnsiTheme="minorHAnsi" w:cs="Aparajita"/>
        </w:rPr>
        <w:t xml:space="preserve"> formidlet sin forskning i forskellige artikler</w:t>
      </w:r>
      <w:r w:rsidR="008F56BB">
        <w:rPr>
          <w:rFonts w:asciiTheme="minorHAnsi" w:hAnsiTheme="minorHAnsi" w:cs="Aparajita"/>
        </w:rPr>
        <w:t>,</w:t>
      </w:r>
      <w:r w:rsidR="006704D6">
        <w:rPr>
          <w:rStyle w:val="Fodnotehenvisning"/>
          <w:rFonts w:asciiTheme="minorHAnsi" w:hAnsiTheme="minorHAnsi" w:cs="Aparajita"/>
        </w:rPr>
        <w:footnoteReference w:id="1"/>
      </w:r>
      <w:r w:rsidR="006859A9" w:rsidRPr="00BE050E">
        <w:rPr>
          <w:rFonts w:asciiTheme="minorHAnsi" w:hAnsiTheme="minorHAnsi" w:cs="Aparajita"/>
        </w:rPr>
        <w:t xml:space="preserve"> </w:t>
      </w:r>
      <w:r w:rsidR="003C5317" w:rsidRPr="00BE050E">
        <w:rPr>
          <w:rFonts w:asciiTheme="minorHAnsi" w:hAnsiTheme="minorHAnsi" w:cs="Aparajita"/>
        </w:rPr>
        <w:t>skriver</w:t>
      </w:r>
      <w:r w:rsidR="00704A55" w:rsidRPr="00BE050E">
        <w:rPr>
          <w:rFonts w:asciiTheme="minorHAnsi" w:hAnsiTheme="minorHAnsi" w:cs="Aparajita"/>
        </w:rPr>
        <w:t xml:space="preserve"> folk fra</w:t>
      </w:r>
      <w:r w:rsidR="006859A9" w:rsidRPr="00BE050E">
        <w:rPr>
          <w:rFonts w:asciiTheme="minorHAnsi" w:hAnsiTheme="minorHAnsi" w:cs="Aparajita"/>
        </w:rPr>
        <w:t xml:space="preserve"> Blitz</w:t>
      </w:r>
      <w:r w:rsidR="00704A55" w:rsidRPr="00BE050E">
        <w:rPr>
          <w:rFonts w:asciiTheme="minorHAnsi" w:hAnsiTheme="minorHAnsi" w:cs="Aparajita"/>
        </w:rPr>
        <w:t>-</w:t>
      </w:r>
      <w:r w:rsidR="006859A9" w:rsidRPr="00BE050E">
        <w:rPr>
          <w:rFonts w:asciiTheme="minorHAnsi" w:hAnsiTheme="minorHAnsi" w:cs="Aparajita"/>
        </w:rPr>
        <w:t xml:space="preserve">miljøet et brev til </w:t>
      </w:r>
      <w:r w:rsidR="006859A9" w:rsidRPr="00BE050E">
        <w:rPr>
          <w:rFonts w:asciiTheme="minorHAnsi" w:eastAsiaTheme="minorEastAsia" w:hAnsiTheme="minorHAnsi" w:cs="Helvetica"/>
          <w:i/>
          <w:lang w:eastAsia="da-DK"/>
        </w:rPr>
        <w:t xml:space="preserve">Den </w:t>
      </w:r>
      <w:proofErr w:type="spellStart"/>
      <w:r w:rsidR="006859A9" w:rsidRPr="00BE050E">
        <w:rPr>
          <w:rFonts w:asciiTheme="minorHAnsi" w:eastAsiaTheme="minorEastAsia" w:hAnsiTheme="minorHAnsi" w:cs="Helvetica"/>
          <w:i/>
          <w:lang w:eastAsia="da-DK"/>
        </w:rPr>
        <w:t>nasjonale</w:t>
      </w:r>
      <w:proofErr w:type="spellEnd"/>
      <w:r w:rsidR="006859A9" w:rsidRPr="00BE050E">
        <w:rPr>
          <w:rFonts w:asciiTheme="minorHAnsi" w:eastAsiaTheme="minorEastAsia" w:hAnsiTheme="minorHAnsi" w:cs="Helvetica"/>
          <w:i/>
          <w:lang w:eastAsia="da-DK"/>
        </w:rPr>
        <w:t xml:space="preserve"> forskningsetiske komité for </w:t>
      </w:r>
      <w:proofErr w:type="spellStart"/>
      <w:r w:rsidR="006859A9" w:rsidRPr="00BE050E">
        <w:rPr>
          <w:rFonts w:asciiTheme="minorHAnsi" w:eastAsiaTheme="minorEastAsia" w:hAnsiTheme="minorHAnsi" w:cs="Helvetica"/>
          <w:i/>
          <w:lang w:eastAsia="da-DK"/>
        </w:rPr>
        <w:t>samfunn</w:t>
      </w:r>
      <w:r w:rsidR="003934FD" w:rsidRPr="00BE050E">
        <w:rPr>
          <w:rFonts w:asciiTheme="minorHAnsi" w:eastAsiaTheme="minorEastAsia" w:hAnsiTheme="minorHAnsi" w:cs="Helvetica"/>
          <w:i/>
          <w:lang w:eastAsia="da-DK"/>
        </w:rPr>
        <w:t>svitenskap</w:t>
      </w:r>
      <w:proofErr w:type="spellEnd"/>
      <w:r w:rsidR="006859A9" w:rsidRPr="00BE050E">
        <w:rPr>
          <w:rFonts w:asciiTheme="minorHAnsi" w:eastAsiaTheme="minorEastAsia" w:hAnsiTheme="minorHAnsi" w:cs="Helvetica"/>
          <w:i/>
          <w:lang w:eastAsia="da-DK"/>
        </w:rPr>
        <w:t xml:space="preserve"> og humaniora</w:t>
      </w:r>
      <w:r w:rsidR="006859A9" w:rsidRPr="00BE050E">
        <w:rPr>
          <w:rFonts w:asciiTheme="minorHAnsi" w:eastAsiaTheme="minorEastAsia" w:hAnsiTheme="minorHAnsi" w:cs="Helvetica"/>
          <w:lang w:eastAsia="da-DK"/>
        </w:rPr>
        <w:t xml:space="preserve"> (NESH</w:t>
      </w:r>
      <w:r w:rsidR="00C0583F" w:rsidRPr="00BE050E">
        <w:rPr>
          <w:rFonts w:asciiTheme="minorHAnsi" w:eastAsiaTheme="minorEastAsia" w:hAnsiTheme="minorHAnsi" w:cs="Helvetica"/>
          <w:lang w:eastAsia="da-DK"/>
        </w:rPr>
        <w:t>)</w:t>
      </w:r>
      <w:r w:rsidR="00D91DE9" w:rsidRPr="00BE050E">
        <w:rPr>
          <w:rFonts w:asciiTheme="minorHAnsi" w:eastAsiaTheme="minorEastAsia" w:hAnsiTheme="minorHAnsi" w:cs="Helvetica"/>
          <w:lang w:eastAsia="da-DK"/>
        </w:rPr>
        <w:t xml:space="preserve">, </w:t>
      </w:r>
      <w:r w:rsidR="006859A9" w:rsidRPr="00BE050E">
        <w:rPr>
          <w:rFonts w:asciiTheme="minorHAnsi" w:eastAsiaTheme="minorEastAsia" w:hAnsiTheme="minorHAnsi" w:cs="Helvetica"/>
          <w:lang w:eastAsia="da-DK"/>
        </w:rPr>
        <w:t xml:space="preserve">hvor de </w:t>
      </w:r>
      <w:r w:rsidR="003C5317" w:rsidRPr="00BE050E">
        <w:rPr>
          <w:rFonts w:asciiTheme="minorHAnsi" w:eastAsiaTheme="minorEastAsia" w:hAnsiTheme="minorHAnsi" w:cs="Helvetica"/>
          <w:lang w:eastAsia="da-DK"/>
        </w:rPr>
        <w:t>stiller</w:t>
      </w:r>
      <w:r w:rsidR="006859A9" w:rsidRPr="00BE050E">
        <w:rPr>
          <w:rFonts w:asciiTheme="minorHAnsi" w:eastAsiaTheme="minorEastAsia" w:hAnsiTheme="minorHAnsi" w:cs="Helvetica"/>
          <w:lang w:eastAsia="da-DK"/>
        </w:rPr>
        <w:t xml:space="preserve"> spørgsmålet, om </w:t>
      </w:r>
      <w:r w:rsidR="00704A55" w:rsidRPr="00BE050E">
        <w:rPr>
          <w:rFonts w:asciiTheme="minorHAnsi" w:eastAsiaTheme="minorEastAsia" w:hAnsiTheme="minorHAnsi" w:cs="Helvetica"/>
          <w:lang w:eastAsia="da-DK"/>
        </w:rPr>
        <w:t>hendes</w:t>
      </w:r>
      <w:r w:rsidR="006859A9" w:rsidRPr="00BE050E">
        <w:rPr>
          <w:rFonts w:asciiTheme="minorHAnsi" w:eastAsiaTheme="minorEastAsia" w:hAnsiTheme="minorHAnsi" w:cs="Helvetica"/>
          <w:lang w:eastAsia="da-DK"/>
        </w:rPr>
        <w:t xml:space="preserve"> undladelse </w:t>
      </w:r>
      <w:r w:rsidR="003C5317" w:rsidRPr="00BE050E">
        <w:rPr>
          <w:rFonts w:asciiTheme="minorHAnsi" w:eastAsiaTheme="minorEastAsia" w:hAnsiTheme="minorHAnsi" w:cs="Helvetica"/>
          <w:lang w:eastAsia="da-DK"/>
        </w:rPr>
        <w:t>kan</w:t>
      </w:r>
      <w:r w:rsidR="006859A9" w:rsidRPr="00BE050E">
        <w:rPr>
          <w:rFonts w:asciiTheme="minorHAnsi" w:eastAsiaTheme="minorEastAsia" w:hAnsiTheme="minorHAnsi" w:cs="Helvetica"/>
          <w:lang w:eastAsia="da-DK"/>
        </w:rPr>
        <w:t xml:space="preserve"> forsvares med denne hensyntagen til forskning og derfra til spørgsmålet, om ikke potentielt tab af menneskeliv </w:t>
      </w:r>
      <w:r w:rsidR="003C5317" w:rsidRPr="00BE050E">
        <w:rPr>
          <w:rFonts w:asciiTheme="minorHAnsi" w:eastAsiaTheme="minorEastAsia" w:hAnsiTheme="minorHAnsi" w:cs="Helvetica"/>
          <w:lang w:eastAsia="da-DK"/>
        </w:rPr>
        <w:t>bør</w:t>
      </w:r>
      <w:r w:rsidR="006859A9" w:rsidRPr="00BE050E">
        <w:rPr>
          <w:rFonts w:asciiTheme="minorHAnsi" w:eastAsiaTheme="minorEastAsia" w:hAnsiTheme="minorHAnsi" w:cs="Helvetica"/>
          <w:lang w:eastAsia="da-DK"/>
        </w:rPr>
        <w:t xml:space="preserve"> veje tungere end tillids- og fortrolighedshensyn. NESH </w:t>
      </w:r>
      <w:r w:rsidR="003C5317" w:rsidRPr="00BE050E">
        <w:rPr>
          <w:rFonts w:asciiTheme="minorHAnsi" w:eastAsiaTheme="minorEastAsia" w:hAnsiTheme="minorHAnsi" w:cs="Helvetica"/>
          <w:lang w:eastAsia="da-DK"/>
        </w:rPr>
        <w:t>henviser</w:t>
      </w:r>
      <w:r w:rsidR="006859A9" w:rsidRPr="00BE050E">
        <w:rPr>
          <w:rFonts w:asciiTheme="minorHAnsi" w:eastAsiaTheme="minorEastAsia" w:hAnsiTheme="minorHAnsi" w:cs="Helvetica"/>
          <w:lang w:eastAsia="da-DK"/>
        </w:rPr>
        <w:t xml:space="preserve"> i deres svar til §18 i deres retningslinjer: Forskeren har en “</w:t>
      </w:r>
      <w:proofErr w:type="spellStart"/>
      <w:r w:rsidR="006859A9" w:rsidRPr="00BE050E">
        <w:rPr>
          <w:rFonts w:asciiTheme="minorHAnsi" w:eastAsiaTheme="minorEastAsia" w:hAnsiTheme="minorHAnsi" w:cs="Helvetica"/>
          <w:lang w:eastAsia="da-DK"/>
        </w:rPr>
        <w:t>rettslig</w:t>
      </w:r>
      <w:proofErr w:type="spellEnd"/>
      <w:r w:rsidR="006859A9" w:rsidRPr="00BE050E">
        <w:rPr>
          <w:rFonts w:asciiTheme="minorHAnsi" w:eastAsiaTheme="minorEastAsia" w:hAnsiTheme="minorHAnsi" w:cs="Helvetica"/>
          <w:lang w:eastAsia="da-DK"/>
        </w:rPr>
        <w:t xml:space="preserve"> </w:t>
      </w:r>
      <w:proofErr w:type="spellStart"/>
      <w:r w:rsidR="006859A9" w:rsidRPr="00BE050E">
        <w:rPr>
          <w:rFonts w:asciiTheme="minorHAnsi" w:eastAsiaTheme="minorEastAsia" w:hAnsiTheme="minorHAnsi" w:cs="Helvetica"/>
          <w:lang w:eastAsia="da-DK"/>
        </w:rPr>
        <w:t>plikt</w:t>
      </w:r>
      <w:proofErr w:type="spellEnd"/>
      <w:r w:rsidR="006859A9" w:rsidRPr="00BE050E">
        <w:rPr>
          <w:rFonts w:asciiTheme="minorHAnsi" w:eastAsiaTheme="minorEastAsia" w:hAnsiTheme="minorHAnsi" w:cs="Helvetica"/>
          <w:lang w:eastAsia="da-DK"/>
        </w:rPr>
        <w:t xml:space="preserve"> til å </w:t>
      </w:r>
      <w:proofErr w:type="spellStart"/>
      <w:r w:rsidR="006859A9" w:rsidRPr="00BE050E">
        <w:rPr>
          <w:rFonts w:asciiTheme="minorHAnsi" w:eastAsiaTheme="minorEastAsia" w:hAnsiTheme="minorHAnsi" w:cs="Helvetica"/>
          <w:lang w:eastAsia="da-DK"/>
        </w:rPr>
        <w:t>avverge</w:t>
      </w:r>
      <w:proofErr w:type="spellEnd"/>
      <w:r w:rsidR="006859A9" w:rsidRPr="00BE050E">
        <w:rPr>
          <w:rFonts w:asciiTheme="minorHAnsi" w:eastAsiaTheme="minorEastAsia" w:hAnsiTheme="minorHAnsi" w:cs="Helvetica"/>
          <w:lang w:eastAsia="da-DK"/>
        </w:rPr>
        <w:t xml:space="preserve"> særlig alvorlige fremtidige </w:t>
      </w:r>
      <w:proofErr w:type="spellStart"/>
      <w:r w:rsidR="006859A9" w:rsidRPr="00BE050E">
        <w:rPr>
          <w:rFonts w:asciiTheme="minorHAnsi" w:eastAsiaTheme="minorEastAsia" w:hAnsiTheme="minorHAnsi" w:cs="Helvetica"/>
          <w:lang w:eastAsia="da-DK"/>
        </w:rPr>
        <w:t>lovbrudd</w:t>
      </w:r>
      <w:proofErr w:type="spellEnd"/>
      <w:r w:rsidR="006859A9" w:rsidRPr="00BE050E">
        <w:rPr>
          <w:rFonts w:asciiTheme="minorHAnsi" w:eastAsiaTheme="minorEastAsia" w:hAnsiTheme="minorHAnsi" w:cs="Helvetica"/>
          <w:lang w:eastAsia="da-DK"/>
        </w:rPr>
        <w:t>, for eksempe</w:t>
      </w:r>
      <w:r w:rsidR="00704A55" w:rsidRPr="00BE050E">
        <w:rPr>
          <w:rFonts w:asciiTheme="minorHAnsi" w:eastAsiaTheme="minorEastAsia" w:hAnsiTheme="minorHAnsi" w:cs="Helvetica"/>
          <w:lang w:eastAsia="da-DK"/>
        </w:rPr>
        <w:t>l ved anmeldelse til politiet”.</w:t>
      </w:r>
      <w:r w:rsidR="00704A55" w:rsidRPr="00BE050E">
        <w:rPr>
          <w:rFonts w:asciiTheme="minorHAnsi" w:hAnsiTheme="minorHAnsi" w:cs="Aparajita"/>
        </w:rPr>
        <w:t xml:space="preserve"> </w:t>
      </w:r>
      <w:r w:rsidR="003C5317" w:rsidRPr="00BE050E">
        <w:rPr>
          <w:rFonts w:asciiTheme="minorHAnsi" w:eastAsiaTheme="minorEastAsia" w:hAnsiTheme="minorHAnsi" w:cs="Helvetica"/>
          <w:lang w:eastAsia="da-DK"/>
        </w:rPr>
        <w:t>Det virker</w:t>
      </w:r>
      <w:r w:rsidR="006859A9" w:rsidRPr="00BE050E">
        <w:rPr>
          <w:rFonts w:asciiTheme="minorHAnsi" w:eastAsiaTheme="minorEastAsia" w:hAnsiTheme="minorHAnsi" w:cs="Helvetica"/>
          <w:lang w:eastAsia="da-DK"/>
        </w:rPr>
        <w:t xml:space="preserve"> jo umiddelbart ligetil. Men hvordan afgør man</w:t>
      </w:r>
      <w:r w:rsidR="006878A9" w:rsidRPr="00BE050E">
        <w:rPr>
          <w:rFonts w:asciiTheme="minorHAnsi" w:eastAsiaTheme="minorEastAsia" w:hAnsiTheme="minorHAnsi" w:cs="Helvetica"/>
          <w:lang w:eastAsia="da-DK"/>
        </w:rPr>
        <w:t xml:space="preserve"> egentlig</w:t>
      </w:r>
      <w:r w:rsidR="006859A9" w:rsidRPr="00BE050E">
        <w:rPr>
          <w:rFonts w:asciiTheme="minorHAnsi" w:eastAsiaTheme="minorEastAsia" w:hAnsiTheme="minorHAnsi" w:cs="Helvetica"/>
          <w:lang w:eastAsia="da-DK"/>
        </w:rPr>
        <w:t xml:space="preserve">, om lovbruddet er alvorligt? Hvor mange gange i løbet af et forskningsprojekt i et højreradikalt miljø kunne eller skulle </w:t>
      </w:r>
      <w:r w:rsidR="006878A9" w:rsidRPr="00BE050E">
        <w:rPr>
          <w:rFonts w:asciiTheme="minorHAnsi" w:eastAsiaTheme="minorEastAsia" w:hAnsiTheme="minorHAnsi" w:cs="Helvetica"/>
          <w:lang w:eastAsia="da-DK"/>
        </w:rPr>
        <w:t>forskeren</w:t>
      </w:r>
      <w:r w:rsidR="006859A9" w:rsidRPr="00BE050E">
        <w:rPr>
          <w:rFonts w:asciiTheme="minorHAnsi" w:eastAsiaTheme="minorEastAsia" w:hAnsiTheme="minorHAnsi" w:cs="Helvetica"/>
          <w:lang w:eastAsia="da-DK"/>
        </w:rPr>
        <w:t xml:space="preserve"> have anmeldt </w:t>
      </w:r>
      <w:r w:rsidR="00B57CDB" w:rsidRPr="00BE050E">
        <w:rPr>
          <w:rFonts w:asciiTheme="minorHAnsi" w:eastAsiaTheme="minorEastAsia" w:hAnsiTheme="minorHAnsi" w:cs="Helvetica"/>
          <w:lang w:eastAsia="da-DK"/>
        </w:rPr>
        <w:t xml:space="preserve">potentielle lovbrud </w:t>
      </w:r>
      <w:r w:rsidR="006859A9" w:rsidRPr="00BE050E">
        <w:rPr>
          <w:rFonts w:asciiTheme="minorHAnsi" w:eastAsiaTheme="minorEastAsia" w:hAnsiTheme="minorHAnsi" w:cs="Helvetica"/>
          <w:lang w:eastAsia="da-DK"/>
        </w:rPr>
        <w:t>t</w:t>
      </w:r>
      <w:r w:rsidR="00112667" w:rsidRPr="00BE050E">
        <w:rPr>
          <w:rFonts w:asciiTheme="minorHAnsi" w:eastAsiaTheme="minorEastAsia" w:hAnsiTheme="minorHAnsi" w:cs="Helvetica"/>
          <w:lang w:eastAsia="da-DK"/>
        </w:rPr>
        <w:t>il politiet, og h</w:t>
      </w:r>
      <w:r w:rsidR="003C5317" w:rsidRPr="00BE050E">
        <w:rPr>
          <w:rFonts w:asciiTheme="minorHAnsi" w:eastAsiaTheme="minorEastAsia" w:hAnsiTheme="minorHAnsi" w:cs="Helvetica"/>
          <w:lang w:eastAsia="da-DK"/>
        </w:rPr>
        <w:t>vilke risici vil</w:t>
      </w:r>
      <w:r w:rsidR="006859A9" w:rsidRPr="00BE050E">
        <w:rPr>
          <w:rFonts w:asciiTheme="minorHAnsi" w:eastAsiaTheme="minorEastAsia" w:hAnsiTheme="minorHAnsi" w:cs="Helvetica"/>
          <w:lang w:eastAsia="da-DK"/>
        </w:rPr>
        <w:t xml:space="preserve"> </w:t>
      </w:r>
      <w:r w:rsidR="006878A9" w:rsidRPr="00BE050E">
        <w:rPr>
          <w:rFonts w:asciiTheme="minorHAnsi" w:eastAsiaTheme="minorEastAsia" w:hAnsiTheme="minorHAnsi" w:cs="Helvetica"/>
          <w:lang w:eastAsia="da-DK"/>
        </w:rPr>
        <w:t>hun</w:t>
      </w:r>
      <w:r w:rsidR="006859A9" w:rsidRPr="00BE050E">
        <w:rPr>
          <w:rFonts w:asciiTheme="minorHAnsi" w:eastAsiaTheme="minorEastAsia" w:hAnsiTheme="minorHAnsi" w:cs="Helvetica"/>
          <w:lang w:eastAsia="da-DK"/>
        </w:rPr>
        <w:t xml:space="preserve"> udsætte sig selv for ved at anmelde de personer, hun </w:t>
      </w:r>
      <w:r w:rsidR="003C5317" w:rsidRPr="00BE050E">
        <w:rPr>
          <w:rFonts w:asciiTheme="minorHAnsi" w:eastAsiaTheme="minorEastAsia" w:hAnsiTheme="minorHAnsi" w:cs="Helvetica"/>
          <w:lang w:eastAsia="da-DK"/>
        </w:rPr>
        <w:t>har</w:t>
      </w:r>
      <w:r w:rsidR="006859A9" w:rsidRPr="00BE050E">
        <w:rPr>
          <w:rFonts w:asciiTheme="minorHAnsi" w:eastAsiaTheme="minorEastAsia" w:hAnsiTheme="minorHAnsi" w:cs="Helvetica"/>
          <w:lang w:eastAsia="da-DK"/>
        </w:rPr>
        <w:t xml:space="preserve"> lovet fortrolighed? </w:t>
      </w:r>
      <w:r w:rsidR="006878A9" w:rsidRPr="00BE050E">
        <w:rPr>
          <w:rFonts w:asciiTheme="minorHAnsi" w:eastAsiaTheme="minorEastAsia" w:hAnsiTheme="minorHAnsi" w:cs="Helvetica"/>
          <w:lang w:eastAsia="da-DK"/>
        </w:rPr>
        <w:t>Sådanne spørgsmål optog mig</w:t>
      </w:r>
      <w:r w:rsidR="00D91DE9" w:rsidRPr="00BE050E">
        <w:rPr>
          <w:rFonts w:asciiTheme="minorHAnsi" w:eastAsiaTheme="minorEastAsia" w:hAnsiTheme="minorHAnsi" w:cs="Helvetica"/>
          <w:lang w:eastAsia="da-DK"/>
        </w:rPr>
        <w:t>, da jeg læste om sagen.</w:t>
      </w:r>
      <w:r w:rsidR="003C5317" w:rsidRPr="00BE050E">
        <w:rPr>
          <w:rFonts w:asciiTheme="minorHAnsi" w:eastAsiaTheme="minorEastAsia" w:hAnsiTheme="minorHAnsi" w:cs="Helvetica"/>
          <w:lang w:eastAsia="da-DK"/>
        </w:rPr>
        <w:t xml:space="preserve"> </w:t>
      </w:r>
    </w:p>
    <w:p w14:paraId="7F6CE949" w14:textId="77777777" w:rsidR="008F56BB" w:rsidRDefault="003C5317" w:rsidP="00683DCB">
      <w:pPr>
        <w:spacing w:line="276" w:lineRule="auto"/>
        <w:ind w:firstLine="360"/>
        <w:rPr>
          <w:rFonts w:asciiTheme="minorHAnsi" w:hAnsiTheme="minorHAnsi" w:cs="Tahoma"/>
        </w:rPr>
      </w:pPr>
      <w:r w:rsidRPr="00BE050E">
        <w:rPr>
          <w:rFonts w:asciiTheme="minorHAnsi" w:eastAsiaTheme="minorEastAsia" w:hAnsiTheme="minorHAnsi" w:cs="Helvetica"/>
          <w:lang w:eastAsia="da-DK"/>
        </w:rPr>
        <w:t xml:space="preserve">Måske </w:t>
      </w:r>
      <w:r w:rsidR="00683DCB" w:rsidRPr="00BE050E">
        <w:rPr>
          <w:rFonts w:asciiTheme="minorHAnsi" w:eastAsiaTheme="minorEastAsia" w:hAnsiTheme="minorHAnsi" w:cs="Helvetica"/>
          <w:lang w:eastAsia="da-DK"/>
        </w:rPr>
        <w:t>optog spørgsmålene mig,</w:t>
      </w:r>
      <w:r w:rsidRPr="00BE050E">
        <w:rPr>
          <w:rFonts w:asciiTheme="minorHAnsi" w:eastAsiaTheme="minorEastAsia" w:hAnsiTheme="minorHAnsi" w:cs="Helvetica"/>
          <w:lang w:eastAsia="da-DK"/>
        </w:rPr>
        <w:t xml:space="preserve"> fordi jeg selv har stået i </w:t>
      </w:r>
      <w:r w:rsidR="00683DCB" w:rsidRPr="00BE050E">
        <w:rPr>
          <w:rFonts w:asciiTheme="minorHAnsi" w:eastAsiaTheme="minorEastAsia" w:hAnsiTheme="minorHAnsi" w:cs="Helvetica"/>
          <w:lang w:eastAsia="da-DK"/>
        </w:rPr>
        <w:t>beslægtede</w:t>
      </w:r>
      <w:r w:rsidRPr="00BE050E">
        <w:rPr>
          <w:rFonts w:asciiTheme="minorHAnsi" w:eastAsiaTheme="minorEastAsia" w:hAnsiTheme="minorHAnsi" w:cs="Helvetica"/>
          <w:lang w:eastAsia="da-DK"/>
        </w:rPr>
        <w:t xml:space="preserve"> situationer adskillige gange. </w:t>
      </w:r>
      <w:r w:rsidR="00835357" w:rsidRPr="00BE050E">
        <w:rPr>
          <w:rFonts w:asciiTheme="minorHAnsi" w:hAnsiTheme="minorHAnsi" w:cstheme="minorHAnsi"/>
        </w:rPr>
        <w:t xml:space="preserve">I </w:t>
      </w:r>
      <w:r w:rsidR="00424320" w:rsidRPr="00BE050E">
        <w:rPr>
          <w:rFonts w:asciiTheme="minorHAnsi" w:hAnsiTheme="minorHAnsi" w:cstheme="minorHAnsi"/>
        </w:rPr>
        <w:t>disse</w:t>
      </w:r>
      <w:r w:rsidR="00835357" w:rsidRPr="00BE050E">
        <w:rPr>
          <w:rFonts w:asciiTheme="minorHAnsi" w:hAnsiTheme="minorHAnsi" w:cstheme="minorHAnsi"/>
        </w:rPr>
        <w:t xml:space="preserve"> situationer </w:t>
      </w:r>
      <w:r w:rsidR="00683DCB" w:rsidRPr="00BE050E">
        <w:rPr>
          <w:rFonts w:asciiTheme="minorHAnsi" w:hAnsiTheme="minorHAnsi" w:cstheme="minorHAnsi"/>
        </w:rPr>
        <w:t>har jeg draget</w:t>
      </w:r>
      <w:r w:rsidR="00835357" w:rsidRPr="00BE050E">
        <w:rPr>
          <w:rFonts w:asciiTheme="minorHAnsi" w:hAnsiTheme="minorHAnsi" w:cstheme="minorHAnsi"/>
        </w:rPr>
        <w:t xml:space="preserve"> god nytte af de forskningsetiske retningslinjer, som </w:t>
      </w:r>
      <w:r w:rsidR="00835357" w:rsidRPr="00BE050E">
        <w:rPr>
          <w:rFonts w:asciiTheme="minorHAnsi" w:hAnsiTheme="minorHAnsi" w:cstheme="minorHAnsi"/>
        </w:rPr>
        <w:lastRenderedPageBreak/>
        <w:t xml:space="preserve">findes, og som jeg er forpligtet på at overholde. Men samtidig </w:t>
      </w:r>
      <w:r w:rsidR="00683DCB" w:rsidRPr="00BE050E">
        <w:rPr>
          <w:rFonts w:asciiTheme="minorHAnsi" w:hAnsiTheme="minorHAnsi" w:cstheme="minorHAnsi"/>
        </w:rPr>
        <w:t>har det ofte været min oplevelse</w:t>
      </w:r>
      <w:r w:rsidR="00835357" w:rsidRPr="00BE050E">
        <w:rPr>
          <w:rFonts w:asciiTheme="minorHAnsi" w:hAnsiTheme="minorHAnsi" w:cstheme="minorHAnsi"/>
        </w:rPr>
        <w:t xml:space="preserve">, at sådanne </w:t>
      </w:r>
      <w:r w:rsidR="00D157E8" w:rsidRPr="00BE050E">
        <w:rPr>
          <w:rFonts w:asciiTheme="minorHAnsi" w:hAnsiTheme="minorHAnsi"/>
        </w:rPr>
        <w:t xml:space="preserve">præformulerede og generelle retningslinjer </w:t>
      </w:r>
      <w:r w:rsidR="00683DCB" w:rsidRPr="00BE050E">
        <w:rPr>
          <w:rFonts w:asciiTheme="minorHAnsi" w:hAnsiTheme="minorHAnsi"/>
        </w:rPr>
        <w:t>ikke</w:t>
      </w:r>
      <w:r w:rsidR="002431EB" w:rsidRPr="00BE050E">
        <w:rPr>
          <w:rFonts w:asciiTheme="minorHAnsi" w:hAnsiTheme="minorHAnsi"/>
        </w:rPr>
        <w:t xml:space="preserve"> kan stå alene</w:t>
      </w:r>
      <w:r w:rsidR="00D157E8" w:rsidRPr="00BE050E">
        <w:rPr>
          <w:rFonts w:asciiTheme="minorHAnsi" w:hAnsiTheme="minorHAnsi"/>
        </w:rPr>
        <w:t xml:space="preserve">. </w:t>
      </w:r>
      <w:r w:rsidR="00E03C25" w:rsidRPr="00BE050E">
        <w:rPr>
          <w:rFonts w:asciiTheme="minorHAnsi" w:hAnsiTheme="minorHAnsi"/>
        </w:rPr>
        <w:t xml:space="preserve">At de </w:t>
      </w:r>
      <w:r w:rsidR="00683DCB" w:rsidRPr="00BE050E">
        <w:rPr>
          <w:rFonts w:asciiTheme="minorHAnsi" w:hAnsiTheme="minorHAnsi"/>
        </w:rPr>
        <w:t>sjældent</w:t>
      </w:r>
      <w:r w:rsidR="00E03C25" w:rsidRPr="00BE050E">
        <w:rPr>
          <w:rFonts w:asciiTheme="minorHAnsi" w:hAnsiTheme="minorHAnsi"/>
        </w:rPr>
        <w:t xml:space="preserve"> er tilstrækkelige, fordi </w:t>
      </w:r>
      <w:r w:rsidR="00683DCB" w:rsidRPr="00BE050E">
        <w:rPr>
          <w:rFonts w:asciiTheme="minorHAnsi" w:hAnsiTheme="minorHAnsi"/>
        </w:rPr>
        <w:t xml:space="preserve">det viser sig, at </w:t>
      </w:r>
      <w:r w:rsidR="00E03C25" w:rsidRPr="00BE050E">
        <w:rPr>
          <w:rFonts w:asciiTheme="minorHAnsi" w:hAnsiTheme="minorHAnsi"/>
        </w:rPr>
        <w:t xml:space="preserve">forskningsetiske dilemmaer </w:t>
      </w:r>
      <w:r w:rsidR="008F56BB">
        <w:rPr>
          <w:rFonts w:asciiTheme="minorHAnsi" w:hAnsiTheme="minorHAnsi"/>
        </w:rPr>
        <w:t xml:space="preserve">snarere </w:t>
      </w:r>
      <w:r w:rsidR="00E03C25" w:rsidRPr="00BE050E">
        <w:rPr>
          <w:rFonts w:asciiTheme="minorHAnsi" w:hAnsiTheme="minorHAnsi"/>
        </w:rPr>
        <w:t xml:space="preserve">er et </w:t>
      </w:r>
      <w:proofErr w:type="spellStart"/>
      <w:r w:rsidR="00E03C25" w:rsidRPr="00BE050E">
        <w:rPr>
          <w:rFonts w:asciiTheme="minorHAnsi" w:hAnsiTheme="minorHAnsi"/>
        </w:rPr>
        <w:t>epistemologisk</w:t>
      </w:r>
      <w:proofErr w:type="spellEnd"/>
      <w:r w:rsidR="00E03C25" w:rsidRPr="00BE050E">
        <w:rPr>
          <w:rFonts w:asciiTheme="minorHAnsi" w:hAnsiTheme="minorHAnsi"/>
        </w:rPr>
        <w:t xml:space="preserve"> vilkår gennem hele forskningsprocessen, og ikke blot </w:t>
      </w:r>
      <w:r w:rsidR="00683DCB" w:rsidRPr="00BE050E">
        <w:rPr>
          <w:rFonts w:asciiTheme="minorHAnsi" w:hAnsiTheme="minorHAnsi"/>
        </w:rPr>
        <w:t xml:space="preserve">et </w:t>
      </w:r>
      <w:r w:rsidR="00385F36" w:rsidRPr="00BE050E">
        <w:rPr>
          <w:rFonts w:asciiTheme="minorHAnsi" w:hAnsiTheme="minorHAnsi"/>
        </w:rPr>
        <w:t xml:space="preserve">forhold, der </w:t>
      </w:r>
      <w:r w:rsidR="00B564A8" w:rsidRPr="00BE050E">
        <w:rPr>
          <w:rFonts w:asciiTheme="minorHAnsi" w:hAnsiTheme="minorHAnsi"/>
        </w:rPr>
        <w:t xml:space="preserve">kan </w:t>
      </w:r>
      <w:r w:rsidR="007E602F" w:rsidRPr="00BE050E">
        <w:rPr>
          <w:rFonts w:asciiTheme="minorHAnsi" w:hAnsiTheme="minorHAnsi"/>
        </w:rPr>
        <w:t xml:space="preserve">reduceres til en indledende eller afsluttende notits om, </w:t>
      </w:r>
      <w:r w:rsidR="007E602F" w:rsidRPr="00BE050E">
        <w:rPr>
          <w:rFonts w:asciiTheme="minorHAnsi" w:hAnsiTheme="minorHAnsi" w:cs="Tahoma"/>
        </w:rPr>
        <w:t>at de er overholdt</w:t>
      </w:r>
      <w:r w:rsidR="007E602F" w:rsidRPr="00BE050E">
        <w:rPr>
          <w:rFonts w:asciiTheme="minorHAnsi" w:hAnsiTheme="minorHAnsi"/>
        </w:rPr>
        <w:t xml:space="preserve">. </w:t>
      </w:r>
      <w:r w:rsidR="00E03C25" w:rsidRPr="00BE050E">
        <w:rPr>
          <w:rFonts w:asciiTheme="minorHAnsi" w:hAnsiTheme="minorHAnsi"/>
        </w:rPr>
        <w:t xml:space="preserve">De må </w:t>
      </w:r>
      <w:r w:rsidR="00683DCB" w:rsidRPr="00BE050E">
        <w:rPr>
          <w:rFonts w:asciiTheme="minorHAnsi" w:hAnsiTheme="minorHAnsi"/>
        </w:rPr>
        <w:t xml:space="preserve">tværtimod </w:t>
      </w:r>
      <w:r w:rsidR="002431EB" w:rsidRPr="00BE050E">
        <w:rPr>
          <w:rFonts w:asciiTheme="minorHAnsi" w:hAnsiTheme="minorHAnsi" w:cs="Tahoma"/>
        </w:rPr>
        <w:t>overvejes og genovervejes, forhandles og genforhandles, gennem hele forskningsprocessen.</w:t>
      </w:r>
      <w:r w:rsidR="00E03C25" w:rsidRPr="00BE050E">
        <w:rPr>
          <w:rFonts w:asciiTheme="minorHAnsi" w:hAnsiTheme="minorHAnsi" w:cs="Tahoma"/>
        </w:rPr>
        <w:t xml:space="preserve"> </w:t>
      </w:r>
    </w:p>
    <w:p w14:paraId="0023070B" w14:textId="103E97C0" w:rsidR="007E602F" w:rsidRPr="00BE050E" w:rsidRDefault="00811FEF" w:rsidP="00683DCB">
      <w:pPr>
        <w:spacing w:line="276" w:lineRule="auto"/>
        <w:ind w:firstLine="360"/>
        <w:rPr>
          <w:rFonts w:asciiTheme="minorHAnsi" w:eastAsiaTheme="minorEastAsia" w:hAnsiTheme="minorHAnsi" w:cs="Helvetica"/>
          <w:lang w:eastAsia="da-DK"/>
        </w:rPr>
      </w:pPr>
      <w:r w:rsidRPr="00BE050E">
        <w:rPr>
          <w:rFonts w:asciiTheme="minorHAnsi" w:hAnsiTheme="minorHAnsi" w:cstheme="minorHAnsi"/>
        </w:rPr>
        <w:t>I løbet af mine</w:t>
      </w:r>
      <w:r w:rsidR="00042144" w:rsidRPr="00BE050E">
        <w:rPr>
          <w:rFonts w:asciiTheme="minorHAnsi" w:hAnsiTheme="minorHAnsi" w:cstheme="minorHAnsi"/>
        </w:rPr>
        <w:t xml:space="preserve"> </w:t>
      </w:r>
      <w:r w:rsidR="00683DCB" w:rsidRPr="00BE050E">
        <w:rPr>
          <w:rFonts w:asciiTheme="minorHAnsi" w:hAnsiTheme="minorHAnsi" w:cstheme="minorHAnsi"/>
        </w:rPr>
        <w:t xml:space="preserve">egne </w:t>
      </w:r>
      <w:r w:rsidR="00042144" w:rsidRPr="00BE050E">
        <w:rPr>
          <w:rFonts w:asciiTheme="minorHAnsi" w:hAnsiTheme="minorHAnsi" w:cstheme="minorHAnsi"/>
        </w:rPr>
        <w:t>projekt</w:t>
      </w:r>
      <w:r w:rsidR="00683DCB" w:rsidRPr="00BE050E">
        <w:rPr>
          <w:rFonts w:asciiTheme="minorHAnsi" w:hAnsiTheme="minorHAnsi" w:cstheme="minorHAnsi"/>
        </w:rPr>
        <w:t>er</w:t>
      </w:r>
      <w:r w:rsidR="00042144" w:rsidRPr="00BE050E">
        <w:rPr>
          <w:rFonts w:asciiTheme="minorHAnsi" w:hAnsiTheme="minorHAnsi" w:cstheme="minorHAnsi"/>
        </w:rPr>
        <w:t xml:space="preserve"> kommer jeg således til at savne en forskningsetisk forsvarlig </w:t>
      </w:r>
      <w:proofErr w:type="spellStart"/>
      <w:r w:rsidR="00042144" w:rsidRPr="00BE050E">
        <w:rPr>
          <w:rFonts w:asciiTheme="minorHAnsi" w:hAnsiTheme="minorHAnsi" w:cstheme="minorHAnsi"/>
        </w:rPr>
        <w:t>forholden</w:t>
      </w:r>
      <w:proofErr w:type="spellEnd"/>
      <w:r w:rsidR="00042144" w:rsidRPr="00BE050E">
        <w:rPr>
          <w:rFonts w:asciiTheme="minorHAnsi" w:hAnsiTheme="minorHAnsi" w:cstheme="minorHAnsi"/>
        </w:rPr>
        <w:t xml:space="preserve"> sig, som ikke blot er knyttet til generelle prædefinerede retningslinjer, men som heller ikke hviler på en relativistisk ad hoc-</w:t>
      </w:r>
      <w:proofErr w:type="spellStart"/>
      <w:r w:rsidR="00042144" w:rsidRPr="00BE050E">
        <w:rPr>
          <w:rFonts w:asciiTheme="minorHAnsi" w:hAnsiTheme="minorHAnsi" w:cstheme="minorHAnsi"/>
        </w:rPr>
        <w:t>forholden</w:t>
      </w:r>
      <w:proofErr w:type="spellEnd"/>
      <w:r w:rsidR="00042144" w:rsidRPr="00BE050E">
        <w:rPr>
          <w:rFonts w:asciiTheme="minorHAnsi" w:hAnsiTheme="minorHAnsi" w:cstheme="minorHAnsi"/>
        </w:rPr>
        <w:t>-sig-efter-forgodtbefindende.</w:t>
      </w:r>
    </w:p>
    <w:p w14:paraId="220924E1" w14:textId="149563B1" w:rsidR="00F233E5" w:rsidRPr="00BE050E" w:rsidRDefault="00B564A8" w:rsidP="001F38CF">
      <w:pPr>
        <w:spacing w:line="276" w:lineRule="auto"/>
        <w:ind w:firstLine="360"/>
        <w:rPr>
          <w:rFonts w:asciiTheme="minorHAnsi" w:hAnsiTheme="minorHAnsi" w:cs="Aparajita"/>
        </w:rPr>
      </w:pPr>
      <w:r w:rsidRPr="00BE050E">
        <w:rPr>
          <w:rFonts w:asciiTheme="minorHAnsi" w:hAnsiTheme="minorHAnsi" w:cstheme="minorHAnsi"/>
        </w:rPr>
        <w:t xml:space="preserve">På </w:t>
      </w:r>
      <w:r w:rsidR="00E53BF4" w:rsidRPr="00BE050E">
        <w:rPr>
          <w:rFonts w:asciiTheme="minorHAnsi" w:hAnsiTheme="minorHAnsi" w:cstheme="minorHAnsi"/>
        </w:rPr>
        <w:t xml:space="preserve">den baggrund konstruerer jeg en tentativ distinktion mellem en </w:t>
      </w:r>
      <w:proofErr w:type="spellStart"/>
      <w:r w:rsidR="00E53BF4" w:rsidRPr="00BE050E">
        <w:rPr>
          <w:rFonts w:asciiTheme="minorHAnsi" w:hAnsiTheme="minorHAnsi" w:cs="Aparajita"/>
          <w:i/>
        </w:rPr>
        <w:t>procedural</w:t>
      </w:r>
      <w:proofErr w:type="spellEnd"/>
      <w:r w:rsidR="00E53BF4" w:rsidRPr="00BE050E">
        <w:rPr>
          <w:rFonts w:asciiTheme="minorHAnsi" w:hAnsiTheme="minorHAnsi" w:cs="Aparajita"/>
        </w:rPr>
        <w:t xml:space="preserve"> og en </w:t>
      </w:r>
      <w:r w:rsidR="00E53BF4" w:rsidRPr="00BE050E">
        <w:rPr>
          <w:rFonts w:asciiTheme="minorHAnsi" w:hAnsiTheme="minorHAnsi" w:cs="Aparajita"/>
          <w:i/>
        </w:rPr>
        <w:t>partikularistisk</w:t>
      </w:r>
      <w:r w:rsidR="00E53BF4" w:rsidRPr="00BE050E">
        <w:rPr>
          <w:rFonts w:asciiTheme="minorHAnsi" w:hAnsiTheme="minorHAnsi" w:cs="Aparajita"/>
        </w:rPr>
        <w:t xml:space="preserve"> forskningsetik. </w:t>
      </w:r>
      <w:proofErr w:type="spellStart"/>
      <w:r w:rsidR="00E53BF4" w:rsidRPr="00BE050E">
        <w:rPr>
          <w:rFonts w:asciiTheme="minorHAnsi" w:hAnsiTheme="minorHAnsi" w:cs="Perpetua"/>
          <w:iCs/>
        </w:rPr>
        <w:t>P</w:t>
      </w:r>
      <w:r w:rsidR="00E53BF4" w:rsidRPr="00BE050E">
        <w:rPr>
          <w:rFonts w:asciiTheme="minorHAnsi" w:hAnsiTheme="minorHAnsi" w:cs="Perpetua"/>
        </w:rPr>
        <w:t>rocedural</w:t>
      </w:r>
      <w:proofErr w:type="spellEnd"/>
      <w:r w:rsidR="00E53BF4" w:rsidRPr="00BE050E">
        <w:rPr>
          <w:rFonts w:asciiTheme="minorHAnsi" w:hAnsiTheme="minorHAnsi" w:cs="Perpetua"/>
        </w:rPr>
        <w:t xml:space="preserve"> </w:t>
      </w:r>
      <w:r w:rsidR="00E53BF4" w:rsidRPr="00BE050E">
        <w:rPr>
          <w:rFonts w:asciiTheme="minorHAnsi" w:hAnsiTheme="minorHAnsi" w:cs="Perpetua"/>
          <w:iCs/>
        </w:rPr>
        <w:t xml:space="preserve">forskningsetik </w:t>
      </w:r>
      <w:r w:rsidR="00396DEB" w:rsidRPr="00BE050E">
        <w:rPr>
          <w:rFonts w:asciiTheme="minorHAnsi" w:hAnsiTheme="minorHAnsi" w:cs="Perpetua"/>
          <w:iCs/>
        </w:rPr>
        <w:t>klassificerer jeg som</w:t>
      </w:r>
      <w:r w:rsidR="00E53BF4" w:rsidRPr="00BE050E">
        <w:rPr>
          <w:rFonts w:asciiTheme="minorHAnsi" w:hAnsiTheme="minorHAnsi" w:cs="Perpetua"/>
          <w:iCs/>
        </w:rPr>
        <w:t xml:space="preserve"> den form, der følger bestemte på forhånd fastlagte retningslinjer, </w:t>
      </w:r>
      <w:r w:rsidR="00396DEB" w:rsidRPr="00BE050E">
        <w:rPr>
          <w:rFonts w:asciiTheme="minorHAnsi" w:hAnsiTheme="minorHAnsi" w:cs="Perpetua"/>
          <w:iCs/>
        </w:rPr>
        <w:t>der</w:t>
      </w:r>
      <w:r w:rsidR="00E53BF4" w:rsidRPr="00BE050E">
        <w:rPr>
          <w:rFonts w:asciiTheme="minorHAnsi" w:hAnsiTheme="minorHAnsi" w:cs="Perpetua"/>
          <w:iCs/>
        </w:rPr>
        <w:t xml:space="preserve"> typisk er formuleret i standardiserede, kontekstuafhængige principper for god forskningsetisk adfærd, mens </w:t>
      </w:r>
      <w:r w:rsidR="00396DEB" w:rsidRPr="00BE050E">
        <w:rPr>
          <w:rFonts w:asciiTheme="minorHAnsi" w:hAnsiTheme="minorHAnsi" w:cs="Perpetua"/>
          <w:iCs/>
        </w:rPr>
        <w:t>jeg klassificerer</w:t>
      </w:r>
      <w:r w:rsidR="00E53BF4" w:rsidRPr="00BE050E">
        <w:rPr>
          <w:rFonts w:asciiTheme="minorHAnsi" w:hAnsiTheme="minorHAnsi" w:cs="Perpetua"/>
          <w:iCs/>
        </w:rPr>
        <w:t xml:space="preserve"> </w:t>
      </w:r>
      <w:r w:rsidR="00E53BF4" w:rsidRPr="00BE050E">
        <w:rPr>
          <w:rFonts w:asciiTheme="minorHAnsi" w:hAnsiTheme="minorHAnsi" w:cs="Perpetua"/>
        </w:rPr>
        <w:t xml:space="preserve">partikularistisk </w:t>
      </w:r>
      <w:r w:rsidR="00E53BF4" w:rsidRPr="00BE050E">
        <w:rPr>
          <w:rFonts w:asciiTheme="minorHAnsi" w:hAnsiTheme="minorHAnsi" w:cs="Perpetua"/>
          <w:iCs/>
        </w:rPr>
        <w:t xml:space="preserve">forskningsetik </w:t>
      </w:r>
      <w:r w:rsidR="00396DEB" w:rsidRPr="00BE050E">
        <w:rPr>
          <w:rFonts w:asciiTheme="minorHAnsi" w:hAnsiTheme="minorHAnsi" w:cs="Perpetua"/>
          <w:iCs/>
        </w:rPr>
        <w:t>som</w:t>
      </w:r>
      <w:r w:rsidR="00E53BF4" w:rsidRPr="00BE050E">
        <w:rPr>
          <w:rFonts w:asciiTheme="minorHAnsi" w:hAnsiTheme="minorHAnsi" w:cs="Perpetua"/>
          <w:iCs/>
        </w:rPr>
        <w:t xml:space="preserve"> den form, der foretager en konkret og kontekstafhængig vurdering af de specifikke etiske problemstillinger og dilemmaer, som de viser sig i praksis gennem hele forskningsprocessen. </w:t>
      </w:r>
      <w:r w:rsidR="006F58B1" w:rsidRPr="00BE050E">
        <w:rPr>
          <w:rFonts w:asciiTheme="minorHAnsi" w:hAnsiTheme="minorHAnsi" w:cs="Perpetua"/>
          <w:iCs/>
        </w:rPr>
        <w:t>E</w:t>
      </w:r>
      <w:r w:rsidR="00E53BF4" w:rsidRPr="00BE050E">
        <w:rPr>
          <w:rFonts w:asciiTheme="minorHAnsi" w:hAnsiTheme="minorHAnsi" w:cs="Perpetua"/>
          <w:iCs/>
        </w:rPr>
        <w:t xml:space="preserve">n </w:t>
      </w:r>
      <w:r w:rsidR="00E53BF4" w:rsidRPr="00BE050E">
        <w:rPr>
          <w:rFonts w:asciiTheme="minorHAnsi" w:hAnsiTheme="minorHAnsi" w:cs="Aparajita"/>
        </w:rPr>
        <w:t xml:space="preserve">sådan distinktion er </w:t>
      </w:r>
      <w:r w:rsidR="006F58B1" w:rsidRPr="00BE050E">
        <w:rPr>
          <w:rFonts w:asciiTheme="minorHAnsi" w:hAnsiTheme="minorHAnsi" w:cs="Aparajita"/>
        </w:rPr>
        <w:t xml:space="preserve">naturligvis </w:t>
      </w:r>
      <w:r w:rsidR="00E53BF4" w:rsidRPr="00BE050E">
        <w:rPr>
          <w:rFonts w:asciiTheme="minorHAnsi" w:hAnsiTheme="minorHAnsi" w:cs="Aparajita"/>
        </w:rPr>
        <w:t>udtryk</w:t>
      </w:r>
      <w:r w:rsidR="006F58B1" w:rsidRPr="00BE050E">
        <w:rPr>
          <w:rFonts w:asciiTheme="minorHAnsi" w:hAnsiTheme="minorHAnsi" w:cs="Aparajita"/>
        </w:rPr>
        <w:t xml:space="preserve"> for en teoretisk konstruktion</w:t>
      </w:r>
      <w:r w:rsidR="00D645AC" w:rsidRPr="00BE050E">
        <w:rPr>
          <w:rFonts w:asciiTheme="minorHAnsi" w:hAnsiTheme="minorHAnsi" w:cs="Aparajita"/>
        </w:rPr>
        <w:t xml:space="preserve"> og generalisering</w:t>
      </w:r>
      <w:r w:rsidR="006F58B1" w:rsidRPr="00BE050E">
        <w:rPr>
          <w:rFonts w:asciiTheme="minorHAnsi" w:hAnsiTheme="minorHAnsi" w:cs="Aparajita"/>
        </w:rPr>
        <w:t xml:space="preserve"> – </w:t>
      </w:r>
      <w:r w:rsidR="002E28A7" w:rsidRPr="00BE050E">
        <w:rPr>
          <w:rFonts w:asciiTheme="minorHAnsi" w:hAnsiTheme="minorHAnsi" w:cs="Aparajita"/>
        </w:rPr>
        <w:t>i</w:t>
      </w:r>
      <w:r w:rsidR="006F58B1" w:rsidRPr="00BE050E">
        <w:rPr>
          <w:rFonts w:asciiTheme="minorHAnsi" w:hAnsiTheme="minorHAnsi" w:cs="Aparajita"/>
        </w:rPr>
        <w:t xml:space="preserve"> praksis kan der være en ganske nær sammenhæng mellem dem – </w:t>
      </w:r>
      <w:r w:rsidR="00853804" w:rsidRPr="00BE050E">
        <w:rPr>
          <w:rFonts w:asciiTheme="minorHAnsi" w:hAnsiTheme="minorHAnsi" w:cs="Aparajita"/>
        </w:rPr>
        <w:t>og s</w:t>
      </w:r>
      <w:r w:rsidR="00853804" w:rsidRPr="00BE050E">
        <w:rPr>
          <w:rFonts w:asciiTheme="minorHAnsi" w:hAnsiTheme="minorHAnsi" w:cs="Perpetua"/>
          <w:iCs/>
        </w:rPr>
        <w:t xml:space="preserve">om jeg får de to typer beskrevet og reflekteret i forhold til konkrete projekter, viser det sig hurtigt, at </w:t>
      </w:r>
      <w:r w:rsidR="00B07DE9" w:rsidRPr="00BE050E">
        <w:rPr>
          <w:rFonts w:asciiTheme="minorHAnsi" w:hAnsiTheme="minorHAnsi" w:cs="Aparajita"/>
        </w:rPr>
        <w:t>de</w:t>
      </w:r>
      <w:r w:rsidR="00E53BF4" w:rsidRPr="00BE050E">
        <w:rPr>
          <w:rFonts w:asciiTheme="minorHAnsi" w:hAnsiTheme="minorHAnsi" w:cs="Aparajita"/>
        </w:rPr>
        <w:t xml:space="preserve"> ikke </w:t>
      </w:r>
      <w:r w:rsidR="00853804" w:rsidRPr="00BE050E">
        <w:rPr>
          <w:rFonts w:asciiTheme="minorHAnsi" w:hAnsiTheme="minorHAnsi" w:cs="Aparajita"/>
        </w:rPr>
        <w:t>kan</w:t>
      </w:r>
      <w:r w:rsidR="00E53BF4" w:rsidRPr="00BE050E">
        <w:rPr>
          <w:rFonts w:asciiTheme="minorHAnsi" w:hAnsiTheme="minorHAnsi" w:cs="Aparajita"/>
        </w:rPr>
        <w:t xml:space="preserve"> be</w:t>
      </w:r>
      <w:r w:rsidR="00E53BF4" w:rsidRPr="00BE050E">
        <w:rPr>
          <w:rFonts w:asciiTheme="minorHAnsi" w:hAnsiTheme="minorHAnsi"/>
        </w:rPr>
        <w:t xml:space="preserve">tragtes som </w:t>
      </w:r>
      <w:r w:rsidR="007F735D" w:rsidRPr="00BE050E">
        <w:rPr>
          <w:rFonts w:asciiTheme="minorHAnsi" w:hAnsiTheme="minorHAnsi" w:cs="Aparajita"/>
        </w:rPr>
        <w:t>kontradiktoriske</w:t>
      </w:r>
      <w:r w:rsidR="00E53BF4" w:rsidRPr="00BE050E">
        <w:rPr>
          <w:rFonts w:asciiTheme="minorHAnsi" w:hAnsiTheme="minorHAnsi" w:cs="Aparajita"/>
        </w:rPr>
        <w:t xml:space="preserve"> alternativer</w:t>
      </w:r>
      <w:r w:rsidR="00E53BF4" w:rsidRPr="00BE050E">
        <w:rPr>
          <w:rFonts w:asciiTheme="minorHAnsi" w:hAnsiTheme="minorHAnsi"/>
        </w:rPr>
        <w:t xml:space="preserve">, men derimod som </w:t>
      </w:r>
      <w:r w:rsidR="006F58B1" w:rsidRPr="00BE050E">
        <w:rPr>
          <w:rFonts w:asciiTheme="minorHAnsi" w:hAnsiTheme="minorHAnsi"/>
        </w:rPr>
        <w:t>to</w:t>
      </w:r>
      <w:r w:rsidR="00E53BF4" w:rsidRPr="00BE050E">
        <w:rPr>
          <w:rFonts w:asciiTheme="minorHAnsi" w:hAnsiTheme="minorHAnsi" w:cs="Aparajita"/>
        </w:rPr>
        <w:t xml:space="preserve"> </w:t>
      </w:r>
      <w:r w:rsidR="00F233E5" w:rsidRPr="00BE050E">
        <w:rPr>
          <w:rFonts w:asciiTheme="minorHAnsi" w:hAnsiTheme="minorHAnsi" w:cs="Aparajita"/>
        </w:rPr>
        <w:t xml:space="preserve">selvstændige og </w:t>
      </w:r>
      <w:r w:rsidR="00B07DE9" w:rsidRPr="00BE050E">
        <w:rPr>
          <w:rFonts w:asciiTheme="minorHAnsi" w:hAnsiTheme="minorHAnsi" w:cs="Aparajita"/>
        </w:rPr>
        <w:t xml:space="preserve">væsensforskellige </w:t>
      </w:r>
      <w:r w:rsidR="00E53BF4" w:rsidRPr="00BE050E">
        <w:rPr>
          <w:rFonts w:asciiTheme="minorHAnsi" w:hAnsiTheme="minorHAnsi" w:cs="Aparajita"/>
        </w:rPr>
        <w:t>sider ved god forskningsetisk praksis</w:t>
      </w:r>
      <w:r w:rsidR="006F58B1" w:rsidRPr="00BE050E">
        <w:rPr>
          <w:rFonts w:asciiTheme="minorHAnsi" w:hAnsiTheme="minorHAnsi"/>
        </w:rPr>
        <w:t xml:space="preserve">, </w:t>
      </w:r>
      <w:r w:rsidR="00F233E5" w:rsidRPr="00BE050E">
        <w:rPr>
          <w:rFonts w:asciiTheme="minorHAnsi" w:hAnsiTheme="minorHAnsi" w:cs="Aparajita"/>
        </w:rPr>
        <w:t>der</w:t>
      </w:r>
      <w:r w:rsidR="006F58B1" w:rsidRPr="00BE050E">
        <w:rPr>
          <w:rFonts w:asciiTheme="minorHAnsi" w:hAnsiTheme="minorHAnsi" w:cs="Aparajita"/>
        </w:rPr>
        <w:t xml:space="preserve"> kan berige og understøtte hinanden.</w:t>
      </w:r>
      <w:r w:rsidR="004A4CE4">
        <w:rPr>
          <w:rStyle w:val="Fodnotehenvisning"/>
          <w:rFonts w:asciiTheme="minorHAnsi" w:hAnsiTheme="minorHAnsi" w:cs="Aparajita"/>
        </w:rPr>
        <w:footnoteReference w:id="2"/>
      </w:r>
      <w:r w:rsidR="00853804" w:rsidRPr="00BE050E">
        <w:rPr>
          <w:rFonts w:asciiTheme="minorHAnsi" w:hAnsiTheme="minorHAnsi" w:cs="Aparajita"/>
        </w:rPr>
        <w:t xml:space="preserve"> </w:t>
      </w:r>
    </w:p>
    <w:p w14:paraId="20F6035D" w14:textId="39C2FE82" w:rsidR="004A4CE4" w:rsidRPr="00BE050E" w:rsidRDefault="00D963E0" w:rsidP="001F38CF">
      <w:pPr>
        <w:spacing w:line="276" w:lineRule="auto"/>
        <w:ind w:firstLine="360"/>
        <w:rPr>
          <w:rFonts w:asciiTheme="minorHAnsi" w:hAnsiTheme="minorHAnsi" w:cs="Aparajita"/>
        </w:rPr>
      </w:pPr>
      <w:r w:rsidRPr="00BE050E">
        <w:rPr>
          <w:rFonts w:asciiTheme="minorHAnsi" w:hAnsiTheme="minorHAnsi" w:cs="Aparajita"/>
        </w:rPr>
        <w:t xml:space="preserve">I denne artikel vil jeg med afsæt i </w:t>
      </w:r>
      <w:r w:rsidR="00AA19D6" w:rsidRPr="00BE050E">
        <w:rPr>
          <w:rFonts w:asciiTheme="minorHAnsi" w:hAnsiTheme="minorHAnsi" w:cs="Aparajita"/>
        </w:rPr>
        <w:t>en distinktion</w:t>
      </w:r>
      <w:r w:rsidRPr="00BE050E">
        <w:rPr>
          <w:rFonts w:asciiTheme="minorHAnsi" w:hAnsiTheme="minorHAnsi" w:cs="Aparajita"/>
        </w:rPr>
        <w:t xml:space="preserve"> mellem </w:t>
      </w:r>
      <w:proofErr w:type="spellStart"/>
      <w:r w:rsidRPr="0089043C">
        <w:rPr>
          <w:rFonts w:asciiTheme="minorHAnsi" w:hAnsiTheme="minorHAnsi" w:cs="Aparajita"/>
          <w:i/>
        </w:rPr>
        <w:t>procedural</w:t>
      </w:r>
      <w:proofErr w:type="spellEnd"/>
      <w:r w:rsidRPr="00BE050E">
        <w:rPr>
          <w:rFonts w:asciiTheme="minorHAnsi" w:hAnsiTheme="minorHAnsi" w:cs="Aparajita"/>
        </w:rPr>
        <w:t xml:space="preserve"> og </w:t>
      </w:r>
      <w:r w:rsidRPr="0089043C">
        <w:rPr>
          <w:rFonts w:asciiTheme="minorHAnsi" w:hAnsiTheme="minorHAnsi" w:cs="Aparajita"/>
          <w:i/>
        </w:rPr>
        <w:t>partikularistisk</w:t>
      </w:r>
      <w:r w:rsidRPr="00BE050E">
        <w:rPr>
          <w:rFonts w:asciiTheme="minorHAnsi" w:hAnsiTheme="minorHAnsi" w:cs="Aparajita"/>
        </w:rPr>
        <w:t xml:space="preserve"> forskningsetik derfor forsøg</w:t>
      </w:r>
      <w:r w:rsidR="00F233E5" w:rsidRPr="00BE050E">
        <w:rPr>
          <w:rFonts w:asciiTheme="minorHAnsi" w:hAnsiTheme="minorHAnsi" w:cs="Aparajita"/>
        </w:rPr>
        <w:t>e at give et bud på, hvordan de</w:t>
      </w:r>
      <w:r w:rsidRPr="00BE050E">
        <w:rPr>
          <w:rFonts w:asciiTheme="minorHAnsi" w:hAnsiTheme="minorHAnsi" w:cs="Aparajita"/>
        </w:rPr>
        <w:t xml:space="preserve"> kan sammentænkes. Ikke som en addition</w:t>
      </w:r>
      <w:r w:rsidR="00A25651" w:rsidRPr="00BE050E">
        <w:rPr>
          <w:rFonts w:asciiTheme="minorHAnsi" w:hAnsiTheme="minorHAnsi" w:cs="Aparajita"/>
        </w:rPr>
        <w:t xml:space="preserve"> eller en forsoning</w:t>
      </w:r>
      <w:r w:rsidRPr="00BE050E">
        <w:rPr>
          <w:rFonts w:asciiTheme="minorHAnsi" w:hAnsiTheme="minorHAnsi" w:cs="Aparajita"/>
        </w:rPr>
        <w:t>, men som</w:t>
      </w:r>
      <w:r w:rsidR="00074FCB" w:rsidRPr="00BE050E">
        <w:rPr>
          <w:rFonts w:asciiTheme="minorHAnsi" w:hAnsiTheme="minorHAnsi" w:cs="Aparajita"/>
        </w:rPr>
        <w:t xml:space="preserve"> </w:t>
      </w:r>
      <w:r w:rsidR="00EC58D6" w:rsidRPr="00BE050E">
        <w:rPr>
          <w:rFonts w:asciiTheme="minorHAnsi" w:hAnsiTheme="minorHAnsi" w:cs="Aparajita"/>
        </w:rPr>
        <w:t>en pragmatisk</w:t>
      </w:r>
      <w:r w:rsidR="004C6E89" w:rsidRPr="00BE050E">
        <w:rPr>
          <w:rFonts w:asciiTheme="minorHAnsi" w:hAnsiTheme="minorHAnsi" w:cs="Aparajita"/>
        </w:rPr>
        <w:t xml:space="preserve">-dualistisk tilgang, der både trækker på </w:t>
      </w:r>
      <w:r w:rsidR="001F38CF" w:rsidRPr="00BE050E">
        <w:rPr>
          <w:rFonts w:asciiTheme="minorHAnsi" w:hAnsiTheme="minorHAnsi" w:cs="Aparajita"/>
        </w:rPr>
        <w:t xml:space="preserve">selvstændigheden og væsensforskelligheden mellem </w:t>
      </w:r>
      <w:r w:rsidR="00F233E5" w:rsidRPr="00BE050E">
        <w:rPr>
          <w:rFonts w:asciiTheme="minorHAnsi" w:hAnsiTheme="minorHAnsi" w:cs="Aparajita"/>
        </w:rPr>
        <w:t>dem</w:t>
      </w:r>
      <w:r w:rsidR="0089043C">
        <w:rPr>
          <w:rFonts w:asciiTheme="minorHAnsi" w:hAnsiTheme="minorHAnsi" w:cs="Aparajita"/>
        </w:rPr>
        <w:t>,</w:t>
      </w:r>
      <w:r w:rsidR="00F233E5" w:rsidRPr="00BE050E">
        <w:rPr>
          <w:rFonts w:asciiTheme="minorHAnsi" w:hAnsiTheme="minorHAnsi" w:cs="Aparajita"/>
        </w:rPr>
        <w:t xml:space="preserve"> </w:t>
      </w:r>
      <w:r w:rsidR="004C6E89" w:rsidRPr="00BE050E">
        <w:rPr>
          <w:rFonts w:asciiTheme="minorHAnsi" w:hAnsiTheme="minorHAnsi" w:cs="Aparajita"/>
        </w:rPr>
        <w:t xml:space="preserve">og </w:t>
      </w:r>
      <w:r w:rsidR="0089043C">
        <w:rPr>
          <w:rFonts w:asciiTheme="minorHAnsi" w:hAnsiTheme="minorHAnsi" w:cs="Aparajita"/>
        </w:rPr>
        <w:t xml:space="preserve">som </w:t>
      </w:r>
      <w:r w:rsidR="004C6E89" w:rsidRPr="00BE050E">
        <w:rPr>
          <w:rFonts w:asciiTheme="minorHAnsi" w:hAnsiTheme="minorHAnsi" w:cs="Aparajita"/>
        </w:rPr>
        <w:t xml:space="preserve">samtidig er konstrueret med henblik på, hvad </w:t>
      </w:r>
      <w:r w:rsidR="00F233E5" w:rsidRPr="00BE050E">
        <w:rPr>
          <w:rFonts w:asciiTheme="minorHAnsi" w:hAnsiTheme="minorHAnsi" w:cs="Aparajita"/>
        </w:rPr>
        <w:t>der er</w:t>
      </w:r>
      <w:r w:rsidR="004C6E89" w:rsidRPr="00BE050E">
        <w:rPr>
          <w:rFonts w:asciiTheme="minorHAnsi" w:hAnsiTheme="minorHAnsi" w:cs="Aparajita"/>
        </w:rPr>
        <w:t xml:space="preserve"> hensigtsmæssigt og realistisk </w:t>
      </w:r>
      <w:r w:rsidR="00E31B72" w:rsidRPr="00BE050E">
        <w:rPr>
          <w:rFonts w:asciiTheme="minorHAnsi" w:hAnsiTheme="minorHAnsi" w:cs="Aparajita"/>
        </w:rPr>
        <w:t xml:space="preserve">at gøre </w:t>
      </w:r>
      <w:r w:rsidR="004C6E89" w:rsidRPr="00BE050E">
        <w:rPr>
          <w:rFonts w:asciiTheme="minorHAnsi" w:hAnsiTheme="minorHAnsi" w:cs="Aparajita"/>
        </w:rPr>
        <w:t>i en konkret forskningspraksis.</w:t>
      </w:r>
      <w:r w:rsidR="001F38CF" w:rsidRPr="00BE050E">
        <w:rPr>
          <w:rFonts w:asciiTheme="minorHAnsi" w:hAnsiTheme="minorHAnsi" w:cs="Aparajita"/>
        </w:rPr>
        <w:t xml:space="preserve"> Intentionen</w:t>
      </w:r>
      <w:r w:rsidR="00AA19D6" w:rsidRPr="00BE050E">
        <w:rPr>
          <w:rFonts w:asciiTheme="minorHAnsi" w:hAnsiTheme="minorHAnsi" w:cs="Aparajita"/>
        </w:rPr>
        <w:t xml:space="preserve"> med artiklen er </w:t>
      </w:r>
      <w:r w:rsidR="00F233E5" w:rsidRPr="00BE050E">
        <w:rPr>
          <w:rFonts w:asciiTheme="minorHAnsi" w:hAnsiTheme="minorHAnsi" w:cs="Aparajita"/>
        </w:rPr>
        <w:t xml:space="preserve">således </w:t>
      </w:r>
      <w:r w:rsidR="00AA19D6" w:rsidRPr="00BE050E">
        <w:rPr>
          <w:rFonts w:asciiTheme="minorHAnsi" w:hAnsiTheme="minorHAnsi" w:cs="Aparajita"/>
        </w:rPr>
        <w:t xml:space="preserve">både at analysere og diskutere to forskellige forståelser af forskningsetik og samtidig kvalificere en forskningsetik, der trækker </w:t>
      </w:r>
      <w:r w:rsidR="00E57F6B" w:rsidRPr="00BE050E">
        <w:rPr>
          <w:rFonts w:asciiTheme="minorHAnsi" w:hAnsiTheme="minorHAnsi" w:cs="Aparajita"/>
        </w:rPr>
        <w:t xml:space="preserve">på </w:t>
      </w:r>
      <w:r w:rsidR="00AA19D6" w:rsidRPr="00BE050E">
        <w:rPr>
          <w:rFonts w:asciiTheme="minorHAnsi" w:hAnsiTheme="minorHAnsi" w:cs="Aparajita"/>
        </w:rPr>
        <w:t>begge disse forståelser.</w:t>
      </w:r>
      <w:r w:rsidR="004A4CE4" w:rsidRPr="00BE050E">
        <w:rPr>
          <w:rStyle w:val="Fodnotehenvisning"/>
          <w:rFonts w:asciiTheme="minorHAnsi" w:hAnsiTheme="minorHAnsi"/>
        </w:rPr>
        <w:footnoteReference w:id="3"/>
      </w:r>
      <w:r w:rsidR="004A4CE4" w:rsidRPr="00BE050E">
        <w:rPr>
          <w:rFonts w:asciiTheme="minorHAnsi" w:hAnsiTheme="minorHAnsi" w:cs="Aparajita"/>
        </w:rPr>
        <w:t xml:space="preserve"> </w:t>
      </w:r>
    </w:p>
    <w:p w14:paraId="0A23A6ED" w14:textId="77777777" w:rsidR="004A4CE4" w:rsidRPr="00BE050E" w:rsidRDefault="004A4CE4" w:rsidP="000030DD">
      <w:pPr>
        <w:spacing w:line="276" w:lineRule="auto"/>
        <w:rPr>
          <w:rFonts w:asciiTheme="minorHAnsi" w:hAnsiTheme="minorHAnsi" w:cs="Aparajita"/>
        </w:rPr>
      </w:pPr>
    </w:p>
    <w:p w14:paraId="1615A066" w14:textId="77777777" w:rsidR="004A4CE4" w:rsidRPr="00BE050E" w:rsidRDefault="004A4CE4" w:rsidP="006859A9">
      <w:pPr>
        <w:spacing w:line="276" w:lineRule="auto"/>
        <w:rPr>
          <w:rFonts w:asciiTheme="minorHAnsi" w:hAnsiTheme="minorHAnsi"/>
          <w:b/>
        </w:rPr>
      </w:pPr>
      <w:r w:rsidRPr="00BE050E">
        <w:rPr>
          <w:rFonts w:asciiTheme="minorHAnsi" w:hAnsiTheme="minorHAnsi"/>
          <w:b/>
        </w:rPr>
        <w:t>Et forskningsetisk snit</w:t>
      </w:r>
    </w:p>
    <w:p w14:paraId="19BE1C9B" w14:textId="1B7984F9" w:rsidR="004A4CE4" w:rsidRPr="00BE050E" w:rsidRDefault="004A4CE4" w:rsidP="006859A9">
      <w:pPr>
        <w:spacing w:line="276" w:lineRule="auto"/>
        <w:rPr>
          <w:rFonts w:asciiTheme="minorHAnsi" w:hAnsiTheme="minorHAnsi" w:cs="Tahoma"/>
        </w:rPr>
      </w:pPr>
      <w:r w:rsidRPr="00BE050E">
        <w:rPr>
          <w:rFonts w:asciiTheme="minorHAnsi" w:hAnsiTheme="minorHAnsi" w:cstheme="minorHAnsi"/>
        </w:rPr>
        <w:t xml:space="preserve">Når man tænker over, hvor væsentlige forskningsetiske overvejelser er, er det påfaldende, hvor lidt der </w:t>
      </w:r>
      <w:r w:rsidR="00C55BED">
        <w:rPr>
          <w:rFonts w:asciiTheme="minorHAnsi" w:hAnsiTheme="minorHAnsi" w:cstheme="minorHAnsi"/>
        </w:rPr>
        <w:t>typisk</w:t>
      </w:r>
      <w:r w:rsidR="001D39DE">
        <w:rPr>
          <w:rFonts w:asciiTheme="minorHAnsi" w:hAnsiTheme="minorHAnsi" w:cstheme="minorHAnsi"/>
        </w:rPr>
        <w:t xml:space="preserve"> </w:t>
      </w:r>
      <w:r w:rsidRPr="00BE050E">
        <w:rPr>
          <w:rFonts w:asciiTheme="minorHAnsi" w:hAnsiTheme="minorHAnsi" w:cstheme="minorHAnsi"/>
        </w:rPr>
        <w:t xml:space="preserve">gøres ud af dem i forskningsprojekter. Ofte har de en slags appendiksplacering, hvor forskeren i separate afsnit fortæller, at han har overholdt etiske </w:t>
      </w:r>
      <w:r w:rsidRPr="00BE050E">
        <w:rPr>
          <w:rFonts w:asciiTheme="minorHAnsi" w:hAnsiTheme="minorHAnsi" w:cstheme="minorHAnsi"/>
        </w:rPr>
        <w:lastRenderedPageBreak/>
        <w:t>retningslinjer i henhold til en bestemt institutionelt reguleret ordning og ikke mere end det.</w:t>
      </w:r>
      <w:r w:rsidR="006704D6">
        <w:rPr>
          <w:rStyle w:val="Fodnotehenvisning"/>
          <w:rFonts w:asciiTheme="minorHAnsi" w:hAnsiTheme="minorHAnsi" w:cstheme="minorHAnsi"/>
        </w:rPr>
        <w:footnoteReference w:id="4"/>
      </w:r>
      <w:r w:rsidR="00C55BED">
        <w:rPr>
          <w:rFonts w:asciiTheme="minorHAnsi" w:hAnsiTheme="minorHAnsi" w:cstheme="minorHAnsi"/>
        </w:rPr>
        <w:t xml:space="preserve"> D</w:t>
      </w:r>
      <w:r w:rsidRPr="00BE050E">
        <w:rPr>
          <w:rFonts w:asciiTheme="minorHAnsi" w:hAnsiTheme="minorHAnsi" w:cstheme="minorHAnsi"/>
        </w:rPr>
        <w:t xml:space="preserve">erfor </w:t>
      </w:r>
      <w:r w:rsidR="00C55BED">
        <w:rPr>
          <w:rFonts w:asciiTheme="minorHAnsi" w:hAnsiTheme="minorHAnsi" w:cstheme="minorHAnsi"/>
        </w:rPr>
        <w:t xml:space="preserve">kan der </w:t>
      </w:r>
      <w:r w:rsidRPr="00BE050E">
        <w:rPr>
          <w:rFonts w:asciiTheme="minorHAnsi" w:hAnsiTheme="minorHAnsi" w:cstheme="minorHAnsi"/>
        </w:rPr>
        <w:t xml:space="preserve">være en risiko for, at </w:t>
      </w:r>
      <w:r w:rsidRPr="00BE050E">
        <w:rPr>
          <w:rFonts w:asciiTheme="minorHAnsi" w:hAnsiTheme="minorHAnsi" w:cs="Perpetua"/>
        </w:rPr>
        <w:t>f</w:t>
      </w:r>
      <w:r w:rsidRPr="00BE050E">
        <w:rPr>
          <w:rFonts w:asciiTheme="minorHAnsi" w:hAnsiTheme="minorHAnsi" w:cstheme="minorHAnsi"/>
        </w:rPr>
        <w:t xml:space="preserve">orskningsetik reduceres til noget, </w:t>
      </w:r>
      <w:r w:rsidR="00C55BED">
        <w:rPr>
          <w:rFonts w:asciiTheme="minorHAnsi" w:hAnsiTheme="minorHAnsi" w:cstheme="minorHAnsi"/>
        </w:rPr>
        <w:t>som</w:t>
      </w:r>
      <w:r w:rsidRPr="00BE050E">
        <w:rPr>
          <w:rFonts w:asciiTheme="minorHAnsi" w:hAnsiTheme="minorHAnsi" w:cstheme="minorHAnsi"/>
        </w:rPr>
        <w:t xml:space="preserve"> kan identificeres og formuleres i begyndelsen af et projekt og beskrives ved afslutningen af det. </w:t>
      </w:r>
      <w:r w:rsidRPr="00BE050E">
        <w:rPr>
          <w:rFonts w:asciiTheme="minorHAnsi" w:hAnsiTheme="minorHAnsi" w:cs="Tahoma"/>
        </w:rPr>
        <w:t xml:space="preserve">I teorien kan der således være en fare for, at man som forsker associerer forskningsetik med en idealistisk tro på, at man på forhånd kan sikre sig, at man gør det rigtige; i praksis er det </w:t>
      </w:r>
      <w:r w:rsidR="00C55BED">
        <w:rPr>
          <w:rFonts w:asciiTheme="minorHAnsi" w:hAnsiTheme="minorHAnsi" w:cs="Tahoma"/>
        </w:rPr>
        <w:t xml:space="preserve">derimod </w:t>
      </w:r>
      <w:r w:rsidRPr="00BE050E">
        <w:rPr>
          <w:rFonts w:asciiTheme="minorHAnsi" w:hAnsiTheme="minorHAnsi" w:cs="Tahoma"/>
        </w:rPr>
        <w:t>oftest forbundet med svære valg, som det er mere end vanskeligt</w:t>
      </w:r>
      <w:r w:rsidRPr="00BE050E">
        <w:rPr>
          <w:rFonts w:asciiTheme="minorHAnsi" w:hAnsiTheme="minorHAnsi" w:cs="Aparajita"/>
        </w:rPr>
        <w:t xml:space="preserve"> at give en apriorisk bestemmelse af.</w:t>
      </w:r>
    </w:p>
    <w:p w14:paraId="37932A64" w14:textId="669DD6DB" w:rsidR="004A4CE4" w:rsidRPr="00BE050E" w:rsidRDefault="004A4CE4" w:rsidP="00C63F94">
      <w:pPr>
        <w:spacing w:line="276" w:lineRule="auto"/>
        <w:ind w:firstLine="567"/>
        <w:rPr>
          <w:rFonts w:asciiTheme="minorHAnsi" w:hAnsiTheme="minorHAnsi" w:cs="Tahoma"/>
        </w:rPr>
      </w:pPr>
      <w:r w:rsidRPr="00BE050E">
        <w:rPr>
          <w:rFonts w:asciiTheme="minorHAnsi" w:hAnsiTheme="minorHAnsi" w:cs="Tahoma"/>
        </w:rPr>
        <w:t xml:space="preserve">Forskningsetiske dilemmaer er netop karakteriseret ved, at der er flere forskellige muligheder, som ikke kan realiseres samtidigt, og at der derfor løbende må foretages valg, som er reflekterede og begrundede. Det betyder, at man må respektere de etiske retningslinjer, der findes inden for ens eget forskningsområde, men det stiller samtidig krav til forskerens eget ansvar og moralske dømmekraft, hvor han må have mod til at tage beslutninger, som nogle gange afviger fra disse retningslinjer. </w:t>
      </w:r>
      <w:r w:rsidRPr="00BE050E">
        <w:rPr>
          <w:rFonts w:asciiTheme="minorHAnsi" w:hAnsiTheme="minorHAnsi" w:cs="Aparajita"/>
        </w:rPr>
        <w:t>Kan man fx indhente informeret samtykke én gang for alle i begyndelsen af et projekt? Hvad hvis projektet ændrer sig undervejs? Hvis tematikken forrykker sig? Hvis der dukker andet op, man er nødt til at forfølge. Hvor meget information kan man give deltagerne, så man er sikker på, at de ved, hvad de har sagt ja til? Og hvis man formår at give dem så detaljerede informationer, at man må formode, at de ved, hvad de har sagt ja til, har det så indflydelse på den måde, de efterfølgende agerer på?</w:t>
      </w:r>
    </w:p>
    <w:p w14:paraId="56B725BF" w14:textId="64D84837" w:rsidR="004A4CE4" w:rsidRPr="00BE050E" w:rsidRDefault="004A4CE4" w:rsidP="00D91DE9">
      <w:pPr>
        <w:spacing w:line="276" w:lineRule="auto"/>
        <w:ind w:firstLine="567"/>
        <w:rPr>
          <w:rFonts w:asciiTheme="minorHAnsi" w:hAnsiTheme="minorHAnsi" w:cs="Tahoma"/>
        </w:rPr>
      </w:pPr>
      <w:r w:rsidRPr="00BE050E">
        <w:rPr>
          <w:rFonts w:asciiTheme="minorHAnsi" w:hAnsiTheme="minorHAnsi"/>
        </w:rPr>
        <w:t xml:space="preserve">Etymologisk kan </w:t>
      </w:r>
      <w:r w:rsidRPr="00BE050E">
        <w:rPr>
          <w:rFonts w:asciiTheme="minorHAnsi" w:hAnsiTheme="minorHAnsi"/>
          <w:i/>
        </w:rPr>
        <w:t>etik</w:t>
      </w:r>
      <w:r w:rsidRPr="00BE050E">
        <w:rPr>
          <w:rFonts w:asciiTheme="minorHAnsi" w:hAnsiTheme="minorHAnsi"/>
        </w:rPr>
        <w:t xml:space="preserve"> knyttes til såvel ’sædvane’ som ’karakter’.</w:t>
      </w:r>
      <w:r w:rsidR="006704D6">
        <w:rPr>
          <w:rStyle w:val="Fodnotehenvisning"/>
          <w:rFonts w:asciiTheme="minorHAnsi" w:hAnsiTheme="minorHAnsi"/>
        </w:rPr>
        <w:footnoteReference w:id="5"/>
      </w:r>
      <w:r w:rsidRPr="00BE050E">
        <w:rPr>
          <w:rFonts w:asciiTheme="minorHAnsi" w:hAnsiTheme="minorHAnsi"/>
        </w:rPr>
        <w:t xml:space="preserve"> Oprindeligt er det et kunstord, en neologisme, som er konstrueret af Aristoteles (og oversat til latin som ’</w:t>
      </w:r>
      <w:proofErr w:type="spellStart"/>
      <w:r w:rsidRPr="00BE050E">
        <w:rPr>
          <w:rFonts w:asciiTheme="minorHAnsi" w:hAnsiTheme="minorHAnsi"/>
        </w:rPr>
        <w:t>moralis</w:t>
      </w:r>
      <w:proofErr w:type="spellEnd"/>
      <w:r w:rsidRPr="00BE050E">
        <w:rPr>
          <w:rFonts w:asciiTheme="minorHAnsi" w:hAnsiTheme="minorHAnsi"/>
        </w:rPr>
        <w:t xml:space="preserve">’ af Cicero). </w:t>
      </w:r>
      <w:proofErr w:type="spellStart"/>
      <w:r w:rsidRPr="00BE050E">
        <w:rPr>
          <w:rFonts w:asciiTheme="minorHAnsi" w:hAnsiTheme="minorHAnsi"/>
          <w:i/>
        </w:rPr>
        <w:t>Ethos</w:t>
      </w:r>
      <w:proofErr w:type="spellEnd"/>
      <w:r w:rsidRPr="00BE050E">
        <w:rPr>
          <w:rFonts w:asciiTheme="minorHAnsi" w:hAnsiTheme="minorHAnsi"/>
        </w:rPr>
        <w:t xml:space="preserve"> kan ifølge Aristoteles’ </w:t>
      </w:r>
      <w:proofErr w:type="spellStart"/>
      <w:r w:rsidRPr="00BE050E">
        <w:rPr>
          <w:rFonts w:asciiTheme="minorHAnsi" w:hAnsiTheme="minorHAnsi"/>
        </w:rPr>
        <w:t>nikomacheiske</w:t>
      </w:r>
      <w:proofErr w:type="spellEnd"/>
      <w:r w:rsidRPr="00BE050E">
        <w:rPr>
          <w:rFonts w:asciiTheme="minorHAnsi" w:hAnsiTheme="minorHAnsi"/>
        </w:rPr>
        <w:t xml:space="preserve"> etik netop knyttes til sædvanernes formning af menneskets karakter.</w:t>
      </w:r>
      <w:r w:rsidR="006704D6">
        <w:rPr>
          <w:rStyle w:val="Fodnotehenvisning"/>
          <w:rFonts w:asciiTheme="minorHAnsi" w:hAnsiTheme="minorHAnsi"/>
        </w:rPr>
        <w:footnoteReference w:id="6"/>
      </w:r>
      <w:r w:rsidRPr="00BE050E">
        <w:rPr>
          <w:rFonts w:asciiTheme="minorHAnsi" w:hAnsiTheme="minorHAnsi"/>
        </w:rPr>
        <w:t xml:space="preserve"> Etik relaterer sig til både mennesket selv og den kultur og socialitet, som er med til at forme det. Dette kommer til udtryk i forskningsetikken, hvor også almenetiske begreber som fx ansvar og dømmekraft spiller en naturlig rolle.</w:t>
      </w:r>
    </w:p>
    <w:p w14:paraId="4B2FEF2C" w14:textId="0EF26562" w:rsidR="004A4CE4" w:rsidRPr="00BE050E" w:rsidRDefault="004A4CE4" w:rsidP="006859A9">
      <w:pPr>
        <w:spacing w:line="276" w:lineRule="auto"/>
        <w:ind w:firstLine="567"/>
        <w:rPr>
          <w:rFonts w:asciiTheme="minorHAnsi" w:hAnsiTheme="minorHAnsi"/>
        </w:rPr>
      </w:pPr>
      <w:r w:rsidRPr="00BE050E">
        <w:rPr>
          <w:rFonts w:asciiTheme="minorHAnsi" w:hAnsiTheme="minorHAnsi"/>
        </w:rPr>
        <w:t xml:space="preserve">Snittet for, hvilke forskningsetiske tematikker, man forholder sig til, kan naturligvis lægges forskellige steder. Jeg vil ganske kort gøre rede for, hvor jeg lægger mit. I et kapitel om universitetsfagenes etik fra bogen </w:t>
      </w:r>
      <w:r w:rsidRPr="00BE050E">
        <w:rPr>
          <w:rFonts w:asciiTheme="minorHAnsi" w:hAnsiTheme="minorHAnsi"/>
          <w:i/>
        </w:rPr>
        <w:t>Universitet og videnskab</w:t>
      </w:r>
      <w:r w:rsidRPr="00BE050E">
        <w:rPr>
          <w:rFonts w:asciiTheme="minorHAnsi" w:hAnsiTheme="minorHAnsi"/>
        </w:rPr>
        <w:t xml:space="preserve"> sondrer filosoffen Hans Fink mellem forskerens ansvar i forhold til forskningsprocessen og i forhold til forskningens genstand.</w:t>
      </w:r>
      <w:r w:rsidR="006704D6">
        <w:rPr>
          <w:rStyle w:val="Fodnotehenvisning"/>
          <w:rFonts w:asciiTheme="minorHAnsi" w:hAnsiTheme="minorHAnsi"/>
        </w:rPr>
        <w:footnoteReference w:id="7"/>
      </w:r>
      <w:r w:rsidRPr="00BE050E">
        <w:rPr>
          <w:rFonts w:asciiTheme="minorHAnsi" w:hAnsiTheme="minorHAnsi"/>
        </w:rPr>
        <w:t xml:space="preserve"> Ansvaret over for </w:t>
      </w:r>
      <w:r w:rsidRPr="00BE050E">
        <w:rPr>
          <w:rFonts w:asciiTheme="minorHAnsi" w:hAnsiTheme="minorHAnsi"/>
          <w:i/>
        </w:rPr>
        <w:t>processen</w:t>
      </w:r>
      <w:r w:rsidRPr="00BE050E">
        <w:rPr>
          <w:rFonts w:asciiTheme="minorHAnsi" w:hAnsiTheme="minorHAnsi"/>
        </w:rPr>
        <w:t xml:space="preserve"> handler mest om videnskabelig uredelighed. Det vil sige, at man som forsker ikke må fabrikere data, plagiere andre eller forfalske data, så de bekræfter ens tese (fx selektion og skjult kassation), og man må heller ikke bevidst vildlede, forvride eller fordreje gengivelsen af andres resultater eller afgive urigtige oplysninger om forfatterskab (plantede eller afståede forfatterskaber). Ansvaret over for </w:t>
      </w:r>
      <w:r w:rsidRPr="00BE050E">
        <w:rPr>
          <w:rFonts w:asciiTheme="minorHAnsi" w:hAnsiTheme="minorHAnsi"/>
          <w:i/>
        </w:rPr>
        <w:t>genstanden</w:t>
      </w:r>
      <w:r w:rsidRPr="00BE050E">
        <w:rPr>
          <w:rFonts w:asciiTheme="minorHAnsi" w:hAnsiTheme="minorHAnsi"/>
        </w:rPr>
        <w:t xml:space="preserve"> handler derimod om, at hensynet til det enkelte menneske aldrig må underordnes hensynet til </w:t>
      </w:r>
      <w:r w:rsidRPr="00BE050E">
        <w:rPr>
          <w:rFonts w:asciiTheme="minorHAnsi" w:hAnsiTheme="minorHAnsi"/>
        </w:rPr>
        <w:lastRenderedPageBreak/>
        <w:t xml:space="preserve">videnskaben, og her forholder Fink sig til fx informeret samtykke, fortrolighed, anonymitet, respekt, omhu og saglighed. </w:t>
      </w:r>
    </w:p>
    <w:p w14:paraId="68EDE7E3" w14:textId="61158A5A" w:rsidR="004A4CE4" w:rsidRPr="00BE050E" w:rsidRDefault="004A4CE4" w:rsidP="006878A9">
      <w:pPr>
        <w:spacing w:line="276" w:lineRule="auto"/>
        <w:ind w:firstLine="567"/>
        <w:rPr>
          <w:rFonts w:asciiTheme="minorHAnsi" w:hAnsiTheme="minorHAnsi"/>
        </w:rPr>
      </w:pPr>
      <w:r w:rsidRPr="00BE050E">
        <w:rPr>
          <w:rFonts w:asciiTheme="minorHAnsi" w:hAnsiTheme="minorHAnsi"/>
        </w:rPr>
        <w:t xml:space="preserve">De forskningsetiske overvejelser i denne artikel handler kun om ansvaret over for forskningsgenstanden, og det er altså her, jeg lægger mit snit. Det er den anden af Finks to typer, jeg forholder mig til, ikke den første. Så vidt jeg kan se, er der nemlig afgrundsdyb forskel mellem de to typer. Forskerens ansvar over for forskningsprocessen kan for mig at se ikke forhandles. Den er indiskutabel. Som forsker må man ikke fabrikere eller forfalske data eller plagiere andre forskeres resultater. </w:t>
      </w:r>
      <w:r w:rsidR="00C55BED">
        <w:rPr>
          <w:rFonts w:asciiTheme="minorHAnsi" w:hAnsiTheme="minorHAnsi"/>
        </w:rPr>
        <w:t>Men der gør sig noget andet gældende</w:t>
      </w:r>
      <w:r w:rsidRPr="00BE050E">
        <w:rPr>
          <w:rFonts w:asciiTheme="minorHAnsi" w:hAnsiTheme="minorHAnsi"/>
        </w:rPr>
        <w:t xml:space="preserve"> i forhold til forskningens genstand. Her kan der </w:t>
      </w:r>
      <w:r w:rsidR="00C55BED">
        <w:rPr>
          <w:rFonts w:asciiTheme="minorHAnsi" w:hAnsiTheme="minorHAnsi"/>
        </w:rPr>
        <w:t>netop</w:t>
      </w:r>
      <w:r w:rsidRPr="00BE050E">
        <w:rPr>
          <w:rFonts w:asciiTheme="minorHAnsi" w:hAnsiTheme="minorHAnsi"/>
        </w:rPr>
        <w:t xml:space="preserve"> være vedvarende forhandlinger og genforhandlinger mellem forskere og deltagere gennem hele forskningsprocessen. </w:t>
      </w:r>
      <w:r>
        <w:rPr>
          <w:rFonts w:asciiTheme="minorHAnsi" w:hAnsiTheme="minorHAnsi"/>
        </w:rPr>
        <w:t>M</w:t>
      </w:r>
      <w:r w:rsidRPr="00BE050E">
        <w:rPr>
          <w:rFonts w:asciiTheme="minorHAnsi" w:hAnsiTheme="minorHAnsi"/>
        </w:rPr>
        <w:t xml:space="preserve">ine overvejeler i det følgende </w:t>
      </w:r>
      <w:r>
        <w:rPr>
          <w:rFonts w:asciiTheme="minorHAnsi" w:hAnsiTheme="minorHAnsi"/>
        </w:rPr>
        <w:t xml:space="preserve">handler </w:t>
      </w:r>
      <w:r w:rsidRPr="00BE050E">
        <w:rPr>
          <w:rFonts w:asciiTheme="minorHAnsi" w:hAnsiTheme="minorHAnsi"/>
        </w:rPr>
        <w:t xml:space="preserve">ikke om det indiskutable, men om det, der faktisk kan diskuteres: ansvaret over for forskningsgenstanden. I analysen og kontrasteringen af mine to teoretisk generaliserede typer, den </w:t>
      </w:r>
      <w:proofErr w:type="spellStart"/>
      <w:r w:rsidRPr="00BE050E">
        <w:rPr>
          <w:rFonts w:asciiTheme="minorHAnsi" w:hAnsiTheme="minorHAnsi"/>
        </w:rPr>
        <w:t>procedurale</w:t>
      </w:r>
      <w:proofErr w:type="spellEnd"/>
      <w:r w:rsidRPr="00BE050E">
        <w:rPr>
          <w:rFonts w:asciiTheme="minorHAnsi" w:hAnsiTheme="minorHAnsi"/>
        </w:rPr>
        <w:t xml:space="preserve"> og den partikularistiske, vil jeg bruge ’informeret samtykke’ som gennemgående eksempel på dette ansvar overfor forskningsgenstanden.</w:t>
      </w:r>
    </w:p>
    <w:p w14:paraId="28B7A071" w14:textId="77777777" w:rsidR="004A4CE4" w:rsidRPr="00BE050E" w:rsidRDefault="004A4CE4" w:rsidP="006859A9">
      <w:pPr>
        <w:spacing w:line="276" w:lineRule="auto"/>
        <w:rPr>
          <w:rFonts w:asciiTheme="minorHAnsi" w:hAnsiTheme="minorHAnsi"/>
        </w:rPr>
      </w:pPr>
    </w:p>
    <w:p w14:paraId="18BF8EB9" w14:textId="77777777" w:rsidR="004A4CE4" w:rsidRPr="00BE050E" w:rsidRDefault="004A4CE4" w:rsidP="006859A9">
      <w:pPr>
        <w:spacing w:line="276" w:lineRule="auto"/>
        <w:rPr>
          <w:rFonts w:asciiTheme="minorHAnsi" w:hAnsiTheme="minorHAnsi"/>
          <w:b/>
        </w:rPr>
      </w:pPr>
      <w:proofErr w:type="spellStart"/>
      <w:r w:rsidRPr="00BE050E">
        <w:rPr>
          <w:rFonts w:asciiTheme="minorHAnsi" w:hAnsiTheme="minorHAnsi"/>
          <w:b/>
        </w:rPr>
        <w:t>Procedural</w:t>
      </w:r>
      <w:proofErr w:type="spellEnd"/>
      <w:r w:rsidRPr="00BE050E">
        <w:rPr>
          <w:rFonts w:asciiTheme="minorHAnsi" w:hAnsiTheme="minorHAnsi"/>
          <w:b/>
        </w:rPr>
        <w:t xml:space="preserve"> forskningsetik</w:t>
      </w:r>
    </w:p>
    <w:p w14:paraId="07D31019" w14:textId="5C8E304B" w:rsidR="004A4CE4" w:rsidRPr="00BE050E" w:rsidRDefault="004A4CE4" w:rsidP="00384C70">
      <w:pPr>
        <w:spacing w:line="276" w:lineRule="auto"/>
        <w:rPr>
          <w:rFonts w:asciiTheme="minorHAnsi" w:hAnsiTheme="minorHAnsi"/>
        </w:rPr>
      </w:pPr>
      <w:r w:rsidRPr="00BE050E">
        <w:rPr>
          <w:rFonts w:asciiTheme="minorHAnsi" w:hAnsiTheme="minorHAnsi"/>
        </w:rPr>
        <w:t xml:space="preserve">Den form for forskningsetik, der følger bestemte på forhånd fastlagte retningslinjer, benævner jeg </w:t>
      </w:r>
      <w:proofErr w:type="spellStart"/>
      <w:r w:rsidRPr="00BE050E">
        <w:rPr>
          <w:rFonts w:asciiTheme="minorHAnsi" w:hAnsiTheme="minorHAnsi"/>
          <w:i/>
        </w:rPr>
        <w:t>procedural</w:t>
      </w:r>
      <w:proofErr w:type="spellEnd"/>
      <w:r w:rsidRPr="00BE050E">
        <w:rPr>
          <w:rFonts w:asciiTheme="minorHAnsi" w:hAnsiTheme="minorHAnsi"/>
          <w:i/>
        </w:rPr>
        <w:t xml:space="preserve"> </w:t>
      </w:r>
      <w:r w:rsidRPr="00BE050E">
        <w:rPr>
          <w:rFonts w:asciiTheme="minorHAnsi" w:hAnsiTheme="minorHAnsi"/>
        </w:rPr>
        <w:t>forskningsetik for at signalere, at den i udpræget grad trækker på procedurer, der ofte er reguleret af formelle regler. Det er en forskningsetik, som formuleres i standardiserede, kontekstuafhængige principper for god etisk adfærd, hvor der fx lægges vægt på at indhente informeret samtykke fra deltagerne og sikre dem fortrolighed og anonymitet, og hvor fx respekt, godgørenhed, ærlighed, ansvarlighed og det at undgå at skade nogen (</w:t>
      </w:r>
      <w:proofErr w:type="spellStart"/>
      <w:r w:rsidRPr="00BE050E">
        <w:rPr>
          <w:rFonts w:asciiTheme="minorHAnsi" w:hAnsiTheme="minorHAnsi"/>
        </w:rPr>
        <w:t>nonmaleficence</w:t>
      </w:r>
      <w:proofErr w:type="spellEnd"/>
      <w:r w:rsidRPr="00BE050E">
        <w:rPr>
          <w:rFonts w:asciiTheme="minorHAnsi" w:hAnsiTheme="minorHAnsi"/>
        </w:rPr>
        <w:t xml:space="preserve">) fremhæves. </w:t>
      </w:r>
    </w:p>
    <w:p w14:paraId="471D4E19" w14:textId="51908E62" w:rsidR="004A4CE4" w:rsidRPr="00BE050E" w:rsidRDefault="004A4CE4" w:rsidP="006859A9">
      <w:pPr>
        <w:spacing w:line="276" w:lineRule="auto"/>
        <w:ind w:firstLine="426"/>
        <w:rPr>
          <w:rFonts w:asciiTheme="minorHAnsi" w:hAnsiTheme="minorHAnsi"/>
        </w:rPr>
      </w:pPr>
      <w:proofErr w:type="spellStart"/>
      <w:r w:rsidRPr="00BE050E">
        <w:rPr>
          <w:rFonts w:asciiTheme="minorHAnsi" w:hAnsiTheme="minorHAnsi"/>
        </w:rPr>
        <w:t>Procedural</w:t>
      </w:r>
      <w:proofErr w:type="spellEnd"/>
      <w:r w:rsidRPr="00BE050E">
        <w:rPr>
          <w:rFonts w:asciiTheme="minorHAnsi" w:hAnsiTheme="minorHAnsi"/>
        </w:rPr>
        <w:t xml:space="preserve"> forskningsetik formuleres typisk i forskellige adfærdskodekser som fx ”professional </w:t>
      </w:r>
      <w:proofErr w:type="spellStart"/>
      <w:r w:rsidRPr="00BE050E">
        <w:rPr>
          <w:rFonts w:asciiTheme="minorHAnsi" w:hAnsiTheme="minorHAnsi"/>
        </w:rPr>
        <w:t>codes</w:t>
      </w:r>
      <w:proofErr w:type="spellEnd"/>
      <w:r w:rsidRPr="00BE050E">
        <w:rPr>
          <w:rFonts w:asciiTheme="minorHAnsi" w:hAnsiTheme="minorHAnsi"/>
        </w:rPr>
        <w:t>”,</w:t>
      </w:r>
      <w:r w:rsidR="006704D6">
        <w:rPr>
          <w:rStyle w:val="Fodnotehenvisning"/>
          <w:rFonts w:asciiTheme="minorHAnsi" w:hAnsiTheme="minorHAnsi"/>
        </w:rPr>
        <w:footnoteReference w:id="8"/>
      </w:r>
      <w:r w:rsidRPr="00BE050E">
        <w:rPr>
          <w:rFonts w:asciiTheme="minorHAnsi" w:hAnsiTheme="minorHAnsi"/>
        </w:rPr>
        <w:t xml:space="preserve"> ”professional </w:t>
      </w:r>
      <w:proofErr w:type="spellStart"/>
      <w:r w:rsidRPr="00BE050E">
        <w:rPr>
          <w:rFonts w:asciiTheme="minorHAnsi" w:hAnsiTheme="minorHAnsi"/>
        </w:rPr>
        <w:t>ethics</w:t>
      </w:r>
      <w:proofErr w:type="spellEnd"/>
      <w:r w:rsidRPr="00BE050E">
        <w:rPr>
          <w:rFonts w:asciiTheme="minorHAnsi" w:hAnsiTheme="minorHAnsi"/>
        </w:rPr>
        <w:t>”</w:t>
      </w:r>
      <w:r w:rsidR="006704D6">
        <w:rPr>
          <w:rStyle w:val="Fodnotehenvisning"/>
          <w:rFonts w:asciiTheme="minorHAnsi" w:hAnsiTheme="minorHAnsi"/>
        </w:rPr>
        <w:footnoteReference w:id="9"/>
      </w:r>
      <w:r w:rsidRPr="00BE050E">
        <w:rPr>
          <w:rFonts w:asciiTheme="minorHAnsi" w:hAnsiTheme="minorHAnsi"/>
        </w:rPr>
        <w:t xml:space="preserve"> eller ”</w:t>
      </w:r>
      <w:proofErr w:type="spellStart"/>
      <w:r w:rsidRPr="00BE050E">
        <w:rPr>
          <w:rFonts w:asciiTheme="minorHAnsi" w:hAnsiTheme="minorHAnsi"/>
        </w:rPr>
        <w:t>ethics</w:t>
      </w:r>
      <w:proofErr w:type="spellEnd"/>
      <w:r w:rsidRPr="00BE050E">
        <w:rPr>
          <w:rFonts w:asciiTheme="minorHAnsi" w:hAnsiTheme="minorHAnsi"/>
        </w:rPr>
        <w:t xml:space="preserve"> of </w:t>
      </w:r>
      <w:proofErr w:type="spellStart"/>
      <w:r w:rsidRPr="00BE050E">
        <w:rPr>
          <w:rFonts w:asciiTheme="minorHAnsi" w:hAnsiTheme="minorHAnsi"/>
        </w:rPr>
        <w:t>conduct</w:t>
      </w:r>
      <w:proofErr w:type="spellEnd"/>
      <w:r w:rsidRPr="00BE050E">
        <w:rPr>
          <w:rFonts w:asciiTheme="minorHAnsi" w:hAnsiTheme="minorHAnsi"/>
        </w:rPr>
        <w:t>”.</w:t>
      </w:r>
      <w:r w:rsidR="006704D6">
        <w:rPr>
          <w:rStyle w:val="Fodnotehenvisning"/>
          <w:rFonts w:asciiTheme="minorHAnsi" w:hAnsiTheme="minorHAnsi"/>
        </w:rPr>
        <w:footnoteReference w:id="10"/>
      </w:r>
      <w:r w:rsidRPr="00BE050E">
        <w:rPr>
          <w:rFonts w:asciiTheme="minorHAnsi" w:hAnsiTheme="minorHAnsi"/>
        </w:rPr>
        <w:t xml:space="preserve"> Den bagvedliggende tanke er, at mange af de udfordringer, som knytter sig til forskning, kan imødekommes ved brugen af etiske retningslinjer, og at man kan undgå de massive krænkelser af menneskerettigheder i videnskabens navn, som historien ellers er propfyldt med – fx </w:t>
      </w:r>
      <w:r w:rsidRPr="00BE050E">
        <w:rPr>
          <w:rFonts w:asciiTheme="minorHAnsi" w:hAnsiTheme="minorHAnsi"/>
          <w:i/>
        </w:rPr>
        <w:t xml:space="preserve">The </w:t>
      </w:r>
      <w:proofErr w:type="spellStart"/>
      <w:r w:rsidRPr="00BE050E">
        <w:rPr>
          <w:rFonts w:asciiTheme="minorHAnsi" w:hAnsiTheme="minorHAnsi"/>
          <w:i/>
        </w:rPr>
        <w:t>Tuskegee</w:t>
      </w:r>
      <w:proofErr w:type="spellEnd"/>
      <w:r w:rsidRPr="00BE050E">
        <w:rPr>
          <w:rFonts w:asciiTheme="minorHAnsi" w:hAnsiTheme="minorHAnsi"/>
          <w:i/>
        </w:rPr>
        <w:t xml:space="preserve"> </w:t>
      </w:r>
      <w:proofErr w:type="spellStart"/>
      <w:r w:rsidRPr="00BE050E">
        <w:rPr>
          <w:rFonts w:asciiTheme="minorHAnsi" w:hAnsiTheme="minorHAnsi"/>
          <w:i/>
        </w:rPr>
        <w:t>Syphilis</w:t>
      </w:r>
      <w:proofErr w:type="spellEnd"/>
      <w:r w:rsidRPr="00BE050E">
        <w:rPr>
          <w:rFonts w:asciiTheme="minorHAnsi" w:hAnsiTheme="minorHAnsi"/>
          <w:i/>
        </w:rPr>
        <w:t xml:space="preserve"> Experiment</w:t>
      </w:r>
      <w:r w:rsidRPr="00BE050E">
        <w:rPr>
          <w:rFonts w:asciiTheme="minorHAnsi" w:hAnsiTheme="minorHAnsi"/>
        </w:rPr>
        <w:t xml:space="preserve"> (1932-1972), hvor mere end 400 mænd smittet med syfilis forblev ubehandlede, så man kunne undersøge langtidsvirkningerne af sygdommen,</w:t>
      </w:r>
      <w:r w:rsidR="006704D6">
        <w:rPr>
          <w:rStyle w:val="Fodnotehenvisning"/>
          <w:rFonts w:asciiTheme="minorHAnsi" w:hAnsiTheme="minorHAnsi"/>
        </w:rPr>
        <w:footnoteReference w:id="11"/>
      </w:r>
      <w:r w:rsidRPr="00BE050E">
        <w:rPr>
          <w:rFonts w:asciiTheme="minorHAnsi" w:hAnsiTheme="minorHAnsi"/>
        </w:rPr>
        <w:t xml:space="preserve"> eller DES-forsøgene (1950-1952) hvor flere hundrede gravide kvinder fik et syntetisk østrogentilskud (</w:t>
      </w:r>
      <w:proofErr w:type="spellStart"/>
      <w:r w:rsidRPr="00BE050E">
        <w:rPr>
          <w:rFonts w:asciiTheme="minorHAnsi" w:hAnsiTheme="minorHAnsi"/>
          <w:i/>
        </w:rPr>
        <w:t>diethylstilbestrol</w:t>
      </w:r>
      <w:proofErr w:type="spellEnd"/>
      <w:r w:rsidRPr="00BE050E">
        <w:rPr>
          <w:rFonts w:asciiTheme="minorHAnsi" w:hAnsiTheme="minorHAnsi"/>
        </w:rPr>
        <w:t xml:space="preserve">) uden at vide det, og hvor hovedparten af dem efterfølgende fik børn med ekstrem høj forekomst af medfødte </w:t>
      </w:r>
      <w:proofErr w:type="spellStart"/>
      <w:r w:rsidRPr="00BE050E">
        <w:rPr>
          <w:rFonts w:asciiTheme="minorHAnsi" w:hAnsiTheme="minorHAnsi"/>
        </w:rPr>
        <w:t>abnormaliteter</w:t>
      </w:r>
      <w:proofErr w:type="spellEnd"/>
      <w:r w:rsidRPr="00BE050E">
        <w:rPr>
          <w:rFonts w:asciiTheme="minorHAnsi" w:hAnsiTheme="minorHAnsi"/>
        </w:rPr>
        <w:t xml:space="preserve"> og markant </w:t>
      </w:r>
      <w:r w:rsidRPr="00BE050E">
        <w:rPr>
          <w:rFonts w:asciiTheme="minorHAnsi" w:hAnsiTheme="minorHAnsi"/>
        </w:rPr>
        <w:lastRenderedPageBreak/>
        <w:t>øget risiko for at udvikle cancer.</w:t>
      </w:r>
      <w:r w:rsidR="006704D6">
        <w:rPr>
          <w:rStyle w:val="Fodnotehenvisning"/>
          <w:rFonts w:asciiTheme="minorHAnsi" w:hAnsiTheme="minorHAnsi"/>
        </w:rPr>
        <w:footnoteReference w:id="12"/>
      </w:r>
      <w:r w:rsidRPr="00BE050E">
        <w:rPr>
          <w:rFonts w:asciiTheme="minorHAnsi" w:hAnsiTheme="minorHAnsi"/>
        </w:rPr>
        <w:t xml:space="preserve"> Den mest gentagede begrundelse for </w:t>
      </w:r>
      <w:proofErr w:type="spellStart"/>
      <w:r w:rsidRPr="00BE050E">
        <w:rPr>
          <w:rFonts w:asciiTheme="minorHAnsi" w:hAnsiTheme="minorHAnsi"/>
        </w:rPr>
        <w:t>procedural</w:t>
      </w:r>
      <w:proofErr w:type="spellEnd"/>
      <w:r w:rsidRPr="00BE050E">
        <w:rPr>
          <w:rFonts w:asciiTheme="minorHAnsi" w:hAnsiTheme="minorHAnsi"/>
        </w:rPr>
        <w:t xml:space="preserve"> forskningsetisk findes i processen mod de læger, som under 2. verdenskrig udførte rædselsvækkende forsøg med mennesker interneret i de nazistiske koncentrationslejre. Denne proces udgør et internationalt referencepunkt for de efterfølgende udmøntninger af formaliseret forskningsetik.</w:t>
      </w:r>
      <w:r w:rsidR="006704D6">
        <w:rPr>
          <w:rStyle w:val="Fodnotehenvisning"/>
          <w:rFonts w:asciiTheme="minorHAnsi" w:hAnsiTheme="minorHAnsi"/>
        </w:rPr>
        <w:footnoteReference w:id="13"/>
      </w:r>
      <w:r w:rsidRPr="00BE050E">
        <w:rPr>
          <w:rFonts w:asciiTheme="minorHAnsi" w:hAnsiTheme="minorHAnsi"/>
        </w:rPr>
        <w:t xml:space="preserve"> Efter processen udfærdiges fx </w:t>
      </w:r>
      <w:r w:rsidRPr="00BE050E">
        <w:rPr>
          <w:rFonts w:asciiTheme="minorHAnsi" w:hAnsiTheme="minorHAnsi"/>
          <w:i/>
        </w:rPr>
        <w:t xml:space="preserve">The </w:t>
      </w:r>
      <w:proofErr w:type="spellStart"/>
      <w:r w:rsidRPr="00BE050E">
        <w:rPr>
          <w:rFonts w:asciiTheme="minorHAnsi" w:hAnsiTheme="minorHAnsi"/>
          <w:i/>
        </w:rPr>
        <w:t>Nuremberg</w:t>
      </w:r>
      <w:proofErr w:type="spellEnd"/>
      <w:r w:rsidRPr="00BE050E">
        <w:rPr>
          <w:rFonts w:asciiTheme="minorHAnsi" w:hAnsiTheme="minorHAnsi"/>
          <w:i/>
        </w:rPr>
        <w:t xml:space="preserve"> Code</w:t>
      </w:r>
      <w:r w:rsidRPr="00BE050E">
        <w:rPr>
          <w:rFonts w:asciiTheme="minorHAnsi" w:hAnsiTheme="minorHAnsi"/>
        </w:rPr>
        <w:t xml:space="preserve">, som indeholder 10 principper for forskningsetik, og nogle år senere følger the </w:t>
      </w:r>
      <w:r w:rsidRPr="00BE050E">
        <w:rPr>
          <w:rFonts w:asciiTheme="minorHAnsi" w:hAnsiTheme="minorHAnsi"/>
          <w:i/>
        </w:rPr>
        <w:t xml:space="preserve">World Medical </w:t>
      </w:r>
      <w:proofErr w:type="spellStart"/>
      <w:r w:rsidRPr="00BE050E">
        <w:rPr>
          <w:rFonts w:asciiTheme="minorHAnsi" w:hAnsiTheme="minorHAnsi"/>
          <w:i/>
        </w:rPr>
        <w:t>Association’s</w:t>
      </w:r>
      <w:proofErr w:type="spellEnd"/>
      <w:r w:rsidRPr="00BE050E">
        <w:rPr>
          <w:rFonts w:asciiTheme="minorHAnsi" w:hAnsiTheme="minorHAnsi"/>
          <w:i/>
        </w:rPr>
        <w:t xml:space="preserve"> </w:t>
      </w:r>
      <w:proofErr w:type="spellStart"/>
      <w:r w:rsidRPr="00BE050E">
        <w:rPr>
          <w:rFonts w:asciiTheme="minorHAnsi" w:hAnsiTheme="minorHAnsi"/>
          <w:i/>
        </w:rPr>
        <w:t>Declaration</w:t>
      </w:r>
      <w:proofErr w:type="spellEnd"/>
      <w:r w:rsidRPr="00BE050E">
        <w:rPr>
          <w:rFonts w:asciiTheme="minorHAnsi" w:hAnsiTheme="minorHAnsi"/>
          <w:i/>
        </w:rPr>
        <w:t xml:space="preserve"> of </w:t>
      </w:r>
      <w:proofErr w:type="spellStart"/>
      <w:r w:rsidRPr="00BE050E">
        <w:rPr>
          <w:rFonts w:asciiTheme="minorHAnsi" w:hAnsiTheme="minorHAnsi"/>
          <w:i/>
        </w:rPr>
        <w:t>Helsinki</w:t>
      </w:r>
      <w:proofErr w:type="spellEnd"/>
      <w:r w:rsidRPr="00BE050E">
        <w:rPr>
          <w:rFonts w:asciiTheme="minorHAnsi" w:hAnsiTheme="minorHAnsi"/>
        </w:rPr>
        <w:t xml:space="preserve">, som indeholder 32 principper ordnet i tre afsnit. </w:t>
      </w:r>
    </w:p>
    <w:p w14:paraId="254AC264" w14:textId="77777777" w:rsidR="00477BEA" w:rsidRDefault="004A4CE4" w:rsidP="006859A9">
      <w:pPr>
        <w:spacing w:line="276" w:lineRule="auto"/>
        <w:ind w:firstLine="426"/>
        <w:rPr>
          <w:rFonts w:asciiTheme="minorHAnsi" w:hAnsiTheme="minorHAnsi"/>
        </w:rPr>
      </w:pPr>
      <w:r w:rsidRPr="00BE050E">
        <w:rPr>
          <w:rFonts w:asciiTheme="minorHAnsi" w:hAnsiTheme="minorHAnsi"/>
        </w:rPr>
        <w:t xml:space="preserve">I disse tilfælde har det netop vist sig, at forskere ikke altid selv besidder den nødvendige moralske dømmekraft, og for at forhindre, at lignende sager gentager sig, formulerer man derfor nogle formelle retningslinjer, der fx betoner, at deltagerne skal informeres om forskningsprojektets tematik og formål, og at man skal sikre sig selv deres informerede samtykke og sikre dem anonymitet. </w:t>
      </w:r>
    </w:p>
    <w:p w14:paraId="6CBD1AD9" w14:textId="401036B1" w:rsidR="004A4CE4" w:rsidRPr="00BE050E" w:rsidRDefault="004A4CE4" w:rsidP="006859A9">
      <w:pPr>
        <w:spacing w:line="276" w:lineRule="auto"/>
        <w:ind w:firstLine="426"/>
        <w:rPr>
          <w:rFonts w:asciiTheme="minorHAnsi" w:hAnsiTheme="minorHAnsi"/>
        </w:rPr>
      </w:pPr>
      <w:r w:rsidRPr="00BE050E">
        <w:rPr>
          <w:rFonts w:asciiTheme="minorHAnsi" w:hAnsiTheme="minorHAnsi"/>
        </w:rPr>
        <w:t>Retningslinjerne kan have forskellig karakter, men formuleres ofte som fx ”</w:t>
      </w:r>
      <w:proofErr w:type="spellStart"/>
      <w:r w:rsidRPr="00BE050E">
        <w:rPr>
          <w:rFonts w:asciiTheme="minorHAnsi" w:hAnsiTheme="minorHAnsi"/>
        </w:rPr>
        <w:t>five</w:t>
      </w:r>
      <w:proofErr w:type="spellEnd"/>
      <w:r w:rsidRPr="00BE050E">
        <w:rPr>
          <w:rFonts w:asciiTheme="minorHAnsi" w:hAnsiTheme="minorHAnsi"/>
        </w:rPr>
        <w:t xml:space="preserve"> </w:t>
      </w:r>
      <w:proofErr w:type="spellStart"/>
      <w:r w:rsidRPr="00BE050E">
        <w:rPr>
          <w:rFonts w:asciiTheme="minorHAnsi" w:hAnsiTheme="minorHAnsi"/>
        </w:rPr>
        <w:t>key</w:t>
      </w:r>
      <w:proofErr w:type="spellEnd"/>
      <w:r w:rsidRPr="00BE050E">
        <w:rPr>
          <w:rFonts w:asciiTheme="minorHAnsi" w:hAnsiTheme="minorHAnsi"/>
        </w:rPr>
        <w:t xml:space="preserve"> </w:t>
      </w:r>
      <w:proofErr w:type="spellStart"/>
      <w:r w:rsidRPr="00BE050E">
        <w:rPr>
          <w:rFonts w:asciiTheme="minorHAnsi" w:hAnsiTheme="minorHAnsi"/>
        </w:rPr>
        <w:t>ethical</w:t>
      </w:r>
      <w:proofErr w:type="spellEnd"/>
      <w:r w:rsidRPr="00BE050E">
        <w:rPr>
          <w:rFonts w:asciiTheme="minorHAnsi" w:hAnsiTheme="minorHAnsi"/>
        </w:rPr>
        <w:t xml:space="preserve"> principles”</w:t>
      </w:r>
      <w:r w:rsidR="00D177F0">
        <w:rPr>
          <w:rStyle w:val="Fodnotehenvisning"/>
          <w:rFonts w:asciiTheme="minorHAnsi" w:hAnsiTheme="minorHAnsi"/>
        </w:rPr>
        <w:footnoteReference w:id="14"/>
      </w:r>
      <w:r w:rsidRPr="00BE050E">
        <w:rPr>
          <w:rFonts w:asciiTheme="minorHAnsi" w:hAnsiTheme="minorHAnsi"/>
        </w:rPr>
        <w:t xml:space="preserve"> eller “</w:t>
      </w:r>
      <w:proofErr w:type="spellStart"/>
      <w:r w:rsidRPr="00BE050E">
        <w:rPr>
          <w:rFonts w:asciiTheme="minorHAnsi" w:hAnsiTheme="minorHAnsi"/>
        </w:rPr>
        <w:t>three</w:t>
      </w:r>
      <w:proofErr w:type="spellEnd"/>
      <w:r w:rsidRPr="00BE050E">
        <w:rPr>
          <w:rFonts w:asciiTheme="minorHAnsi" w:hAnsiTheme="minorHAnsi"/>
        </w:rPr>
        <w:t xml:space="preserve"> principles of </w:t>
      </w:r>
      <w:proofErr w:type="spellStart"/>
      <w:r w:rsidRPr="00BE050E">
        <w:rPr>
          <w:rFonts w:asciiTheme="minorHAnsi" w:hAnsiTheme="minorHAnsi"/>
        </w:rPr>
        <w:t>respect</w:t>
      </w:r>
      <w:proofErr w:type="spellEnd"/>
      <w:r w:rsidRPr="00BE050E">
        <w:rPr>
          <w:rFonts w:asciiTheme="minorHAnsi" w:hAnsiTheme="minorHAnsi"/>
        </w:rPr>
        <w:t>”.</w:t>
      </w:r>
      <w:r w:rsidR="009936FF">
        <w:rPr>
          <w:rStyle w:val="Fodnotehenvisning"/>
          <w:rFonts w:asciiTheme="minorHAnsi" w:hAnsiTheme="minorHAnsi"/>
        </w:rPr>
        <w:footnoteReference w:id="15"/>
      </w:r>
      <w:r w:rsidRPr="00BE050E">
        <w:rPr>
          <w:rFonts w:asciiTheme="minorHAnsi" w:hAnsiTheme="minorHAnsi"/>
        </w:rPr>
        <w:t xml:space="preserve"> Det kan også være en lang række af retningslinjer, hvor det umiddelbart kan være svært at vurdere, hvornår man helt konkret minimerer, øger eller sikrer, at man gør som foreskrevet: ”Guidelines and principles </w:t>
      </w:r>
      <w:proofErr w:type="spellStart"/>
      <w:r w:rsidRPr="00BE050E">
        <w:rPr>
          <w:rFonts w:asciiTheme="minorHAnsi" w:hAnsiTheme="minorHAnsi"/>
        </w:rPr>
        <w:t>are</w:t>
      </w:r>
      <w:proofErr w:type="spellEnd"/>
      <w:r w:rsidRPr="00BE050E">
        <w:rPr>
          <w:rFonts w:asciiTheme="minorHAnsi" w:hAnsiTheme="minorHAnsi"/>
        </w:rPr>
        <w:t xml:space="preserve"> set with a </w:t>
      </w:r>
      <w:proofErr w:type="spellStart"/>
      <w:r w:rsidRPr="00BE050E">
        <w:rPr>
          <w:rFonts w:asciiTheme="minorHAnsi" w:hAnsiTheme="minorHAnsi"/>
        </w:rPr>
        <w:t>view</w:t>
      </w:r>
      <w:proofErr w:type="spellEnd"/>
      <w:r w:rsidRPr="00BE050E">
        <w:rPr>
          <w:rFonts w:asciiTheme="minorHAnsi" w:hAnsiTheme="minorHAnsi"/>
        </w:rPr>
        <w:t xml:space="preserve"> to </w:t>
      </w:r>
      <w:proofErr w:type="spellStart"/>
      <w:r w:rsidRPr="00BE050E">
        <w:rPr>
          <w:rFonts w:asciiTheme="minorHAnsi" w:hAnsiTheme="minorHAnsi"/>
        </w:rPr>
        <w:t>protect</w:t>
      </w:r>
      <w:proofErr w:type="spellEnd"/>
      <w:r w:rsidRPr="00BE050E">
        <w:rPr>
          <w:rFonts w:asciiTheme="minorHAnsi" w:hAnsiTheme="minorHAnsi"/>
        </w:rPr>
        <w:t xml:space="preserve"> participants and researchers, </w:t>
      </w:r>
      <w:proofErr w:type="spellStart"/>
      <w:r w:rsidRPr="00BE050E">
        <w:rPr>
          <w:rFonts w:asciiTheme="minorHAnsi" w:hAnsiTheme="minorHAnsi"/>
        </w:rPr>
        <w:t>minimize</w:t>
      </w:r>
      <w:proofErr w:type="spellEnd"/>
      <w:r w:rsidRPr="00BE050E">
        <w:rPr>
          <w:rFonts w:asciiTheme="minorHAnsi" w:hAnsiTheme="minorHAnsi"/>
        </w:rPr>
        <w:t xml:space="preserve"> harm, </w:t>
      </w:r>
      <w:proofErr w:type="spellStart"/>
      <w:r w:rsidRPr="00BE050E">
        <w:rPr>
          <w:rFonts w:asciiTheme="minorHAnsi" w:hAnsiTheme="minorHAnsi"/>
        </w:rPr>
        <w:t>increase</w:t>
      </w:r>
      <w:proofErr w:type="spellEnd"/>
      <w:r w:rsidRPr="00BE050E">
        <w:rPr>
          <w:rFonts w:asciiTheme="minorHAnsi" w:hAnsiTheme="minorHAnsi"/>
        </w:rPr>
        <w:t xml:space="preserve"> the sum of </w:t>
      </w:r>
      <w:proofErr w:type="spellStart"/>
      <w:r w:rsidRPr="00BE050E">
        <w:rPr>
          <w:rFonts w:asciiTheme="minorHAnsi" w:hAnsiTheme="minorHAnsi"/>
        </w:rPr>
        <w:t>good</w:t>
      </w:r>
      <w:proofErr w:type="spellEnd"/>
      <w:r w:rsidRPr="00BE050E">
        <w:rPr>
          <w:rFonts w:asciiTheme="minorHAnsi" w:hAnsiTheme="minorHAnsi"/>
        </w:rPr>
        <w:t xml:space="preserve">, </w:t>
      </w:r>
      <w:proofErr w:type="spellStart"/>
      <w:r w:rsidRPr="00BE050E">
        <w:rPr>
          <w:rFonts w:asciiTheme="minorHAnsi" w:hAnsiTheme="minorHAnsi"/>
        </w:rPr>
        <w:t>assure</w:t>
      </w:r>
      <w:proofErr w:type="spellEnd"/>
      <w:r w:rsidRPr="00BE050E">
        <w:rPr>
          <w:rFonts w:asciiTheme="minorHAnsi" w:hAnsiTheme="minorHAnsi"/>
        </w:rPr>
        <w:t xml:space="preserve"> trust, </w:t>
      </w:r>
      <w:proofErr w:type="spellStart"/>
      <w:r w:rsidRPr="00BE050E">
        <w:rPr>
          <w:rFonts w:asciiTheme="minorHAnsi" w:hAnsiTheme="minorHAnsi"/>
        </w:rPr>
        <w:t>ensure</w:t>
      </w:r>
      <w:proofErr w:type="spellEnd"/>
      <w:r w:rsidRPr="00BE050E">
        <w:rPr>
          <w:rFonts w:asciiTheme="minorHAnsi" w:hAnsiTheme="minorHAnsi"/>
        </w:rPr>
        <w:t xml:space="preserve"> research </w:t>
      </w:r>
      <w:proofErr w:type="spellStart"/>
      <w:r w:rsidRPr="00BE050E">
        <w:rPr>
          <w:rFonts w:asciiTheme="minorHAnsi" w:hAnsiTheme="minorHAnsi"/>
        </w:rPr>
        <w:t>integrity</w:t>
      </w:r>
      <w:proofErr w:type="spellEnd"/>
      <w:r w:rsidRPr="00BE050E">
        <w:rPr>
          <w:rFonts w:asciiTheme="minorHAnsi" w:hAnsiTheme="minorHAnsi"/>
        </w:rPr>
        <w:t xml:space="preserve">, </w:t>
      </w:r>
      <w:proofErr w:type="spellStart"/>
      <w:r w:rsidRPr="00BE050E">
        <w:rPr>
          <w:rFonts w:asciiTheme="minorHAnsi" w:hAnsiTheme="minorHAnsi"/>
        </w:rPr>
        <w:t>satisfy</w:t>
      </w:r>
      <w:proofErr w:type="spellEnd"/>
      <w:r w:rsidRPr="00BE050E">
        <w:rPr>
          <w:rFonts w:asciiTheme="minorHAnsi" w:hAnsiTheme="minorHAnsi"/>
        </w:rPr>
        <w:t xml:space="preserve"> </w:t>
      </w:r>
      <w:proofErr w:type="spellStart"/>
      <w:r w:rsidRPr="00BE050E">
        <w:rPr>
          <w:rFonts w:asciiTheme="minorHAnsi" w:hAnsiTheme="minorHAnsi"/>
        </w:rPr>
        <w:t>organizational</w:t>
      </w:r>
      <w:proofErr w:type="spellEnd"/>
      <w:r w:rsidRPr="00BE050E">
        <w:rPr>
          <w:rFonts w:asciiTheme="minorHAnsi" w:hAnsiTheme="minorHAnsi"/>
        </w:rPr>
        <w:t xml:space="preserve"> and professional </w:t>
      </w:r>
      <w:proofErr w:type="spellStart"/>
      <w:r w:rsidRPr="00BE050E">
        <w:rPr>
          <w:rFonts w:asciiTheme="minorHAnsi" w:hAnsiTheme="minorHAnsi"/>
        </w:rPr>
        <w:t>demands</w:t>
      </w:r>
      <w:proofErr w:type="spellEnd"/>
      <w:r w:rsidRPr="00BE050E">
        <w:rPr>
          <w:rFonts w:asciiTheme="minorHAnsi" w:hAnsiTheme="minorHAnsi"/>
        </w:rPr>
        <w:t xml:space="preserve">, and </w:t>
      </w:r>
      <w:proofErr w:type="spellStart"/>
      <w:r w:rsidRPr="00BE050E">
        <w:rPr>
          <w:rFonts w:asciiTheme="minorHAnsi" w:hAnsiTheme="minorHAnsi"/>
        </w:rPr>
        <w:t>cope</w:t>
      </w:r>
      <w:proofErr w:type="spellEnd"/>
      <w:r w:rsidRPr="00BE050E">
        <w:rPr>
          <w:rFonts w:asciiTheme="minorHAnsi" w:hAnsiTheme="minorHAnsi"/>
        </w:rPr>
        <w:t xml:space="preserve"> with new and </w:t>
      </w:r>
      <w:proofErr w:type="spellStart"/>
      <w:r w:rsidRPr="00BE050E">
        <w:rPr>
          <w:rFonts w:asciiTheme="minorHAnsi" w:hAnsiTheme="minorHAnsi"/>
        </w:rPr>
        <w:t>challenging</w:t>
      </w:r>
      <w:proofErr w:type="spellEnd"/>
      <w:r w:rsidRPr="00BE050E">
        <w:rPr>
          <w:rFonts w:asciiTheme="minorHAnsi" w:hAnsiTheme="minorHAnsi"/>
        </w:rPr>
        <w:t xml:space="preserve"> problems from </w:t>
      </w:r>
      <w:proofErr w:type="spellStart"/>
      <w:r w:rsidRPr="00BE050E">
        <w:rPr>
          <w:rFonts w:asciiTheme="minorHAnsi" w:hAnsiTheme="minorHAnsi"/>
        </w:rPr>
        <w:t>concern</w:t>
      </w:r>
      <w:proofErr w:type="spellEnd"/>
      <w:r w:rsidRPr="00BE050E">
        <w:rPr>
          <w:rFonts w:asciiTheme="minorHAnsi" w:hAnsiTheme="minorHAnsi"/>
        </w:rPr>
        <w:t xml:space="preserve"> to </w:t>
      </w:r>
      <w:proofErr w:type="spellStart"/>
      <w:r w:rsidRPr="00BE050E">
        <w:rPr>
          <w:rFonts w:asciiTheme="minorHAnsi" w:hAnsiTheme="minorHAnsi"/>
        </w:rPr>
        <w:t>conduct</w:t>
      </w:r>
      <w:proofErr w:type="spellEnd"/>
      <w:r w:rsidRPr="00BE050E">
        <w:rPr>
          <w:rFonts w:asciiTheme="minorHAnsi" w:hAnsiTheme="minorHAnsi"/>
        </w:rPr>
        <w:t>”.</w:t>
      </w:r>
      <w:r w:rsidR="00D177F0">
        <w:rPr>
          <w:rStyle w:val="Fodnotehenvisning"/>
          <w:rFonts w:asciiTheme="minorHAnsi" w:hAnsiTheme="minorHAnsi"/>
        </w:rPr>
        <w:footnoteReference w:id="16"/>
      </w:r>
      <w:r w:rsidRPr="00BE050E">
        <w:rPr>
          <w:rFonts w:asciiTheme="minorHAnsi" w:hAnsiTheme="minorHAnsi"/>
        </w:rPr>
        <w:t xml:space="preserve"> Typisk er også en slags tjeklister med termer eller principper om ”</w:t>
      </w:r>
      <w:proofErr w:type="spellStart"/>
      <w:r w:rsidRPr="00BE050E">
        <w:rPr>
          <w:rFonts w:asciiTheme="minorHAnsi" w:hAnsiTheme="minorHAnsi"/>
        </w:rPr>
        <w:t>autonomy</w:t>
      </w:r>
      <w:proofErr w:type="spellEnd"/>
      <w:r w:rsidRPr="00BE050E">
        <w:rPr>
          <w:rFonts w:asciiTheme="minorHAnsi" w:hAnsiTheme="minorHAnsi"/>
        </w:rPr>
        <w:t xml:space="preserve">, </w:t>
      </w:r>
      <w:proofErr w:type="spellStart"/>
      <w:r w:rsidRPr="00BE050E">
        <w:rPr>
          <w:rFonts w:asciiTheme="minorHAnsi" w:hAnsiTheme="minorHAnsi"/>
        </w:rPr>
        <w:t>confidentiality</w:t>
      </w:r>
      <w:proofErr w:type="spellEnd"/>
      <w:r w:rsidRPr="00BE050E">
        <w:rPr>
          <w:rFonts w:asciiTheme="minorHAnsi" w:hAnsiTheme="minorHAnsi"/>
        </w:rPr>
        <w:t xml:space="preserve">, </w:t>
      </w:r>
      <w:proofErr w:type="spellStart"/>
      <w:r w:rsidRPr="00BE050E">
        <w:rPr>
          <w:rFonts w:asciiTheme="minorHAnsi" w:hAnsiTheme="minorHAnsi"/>
        </w:rPr>
        <w:t>respect</w:t>
      </w:r>
      <w:proofErr w:type="spellEnd"/>
      <w:r w:rsidRPr="00BE050E">
        <w:rPr>
          <w:rFonts w:asciiTheme="minorHAnsi" w:hAnsiTheme="minorHAnsi"/>
        </w:rPr>
        <w:t xml:space="preserve">, </w:t>
      </w:r>
      <w:proofErr w:type="spellStart"/>
      <w:r w:rsidRPr="00BE050E">
        <w:rPr>
          <w:rFonts w:asciiTheme="minorHAnsi" w:hAnsiTheme="minorHAnsi"/>
        </w:rPr>
        <w:t>beneficence</w:t>
      </w:r>
      <w:proofErr w:type="spellEnd"/>
      <w:r w:rsidRPr="00BE050E">
        <w:rPr>
          <w:rFonts w:asciiTheme="minorHAnsi" w:hAnsiTheme="minorHAnsi"/>
        </w:rPr>
        <w:t xml:space="preserve">, </w:t>
      </w:r>
      <w:proofErr w:type="spellStart"/>
      <w:r w:rsidRPr="00BE050E">
        <w:rPr>
          <w:rFonts w:asciiTheme="minorHAnsi" w:hAnsiTheme="minorHAnsi"/>
        </w:rPr>
        <w:t>nonmaleficence</w:t>
      </w:r>
      <w:proofErr w:type="spellEnd"/>
      <w:r w:rsidRPr="00BE050E">
        <w:rPr>
          <w:rFonts w:asciiTheme="minorHAnsi" w:hAnsiTheme="minorHAnsi"/>
        </w:rPr>
        <w:t xml:space="preserve">, and </w:t>
      </w:r>
      <w:proofErr w:type="spellStart"/>
      <w:r w:rsidRPr="00BE050E">
        <w:rPr>
          <w:rFonts w:asciiTheme="minorHAnsi" w:hAnsiTheme="minorHAnsi"/>
        </w:rPr>
        <w:t>justice</w:t>
      </w:r>
      <w:proofErr w:type="spellEnd"/>
      <w:r w:rsidRPr="00BE050E">
        <w:rPr>
          <w:rFonts w:asciiTheme="minorHAnsi" w:hAnsiTheme="minorHAnsi"/>
        </w:rPr>
        <w:t>”.</w:t>
      </w:r>
      <w:r w:rsidR="00D177F0">
        <w:rPr>
          <w:rStyle w:val="Fodnotehenvisning"/>
          <w:rFonts w:asciiTheme="minorHAnsi" w:hAnsiTheme="minorHAnsi"/>
        </w:rPr>
        <w:footnoteReference w:id="17"/>
      </w:r>
      <w:r w:rsidRPr="00BE050E">
        <w:rPr>
          <w:rFonts w:asciiTheme="minorHAnsi" w:hAnsiTheme="minorHAnsi"/>
        </w:rPr>
        <w:t xml:space="preserve"> </w:t>
      </w:r>
    </w:p>
    <w:p w14:paraId="52E1674C" w14:textId="77777777" w:rsidR="004A4CE4" w:rsidRPr="00BE050E" w:rsidRDefault="004A4CE4" w:rsidP="000A16C0">
      <w:pPr>
        <w:spacing w:line="276" w:lineRule="auto"/>
        <w:ind w:firstLine="426"/>
        <w:rPr>
          <w:rFonts w:asciiTheme="minorHAnsi" w:hAnsiTheme="minorHAnsi"/>
        </w:rPr>
      </w:pPr>
      <w:r w:rsidRPr="00BE050E">
        <w:rPr>
          <w:rFonts w:asciiTheme="minorHAnsi" w:hAnsiTheme="minorHAnsi"/>
        </w:rPr>
        <w:t xml:space="preserve">Respekten for sådanne retningslinjer er en stor og vigtig del af det at udarbejde et forskningsprojekt, og selvom det ikke er meningen, at retningslinjerne skal løse de uforudsete og vanskelige situationer, der kan opstå i løbet af processen, kan de stadig være til stor hjælp, hvis man løbende forholder sig reflekteret til dem. Retningslinjer kan således fungere som en påmindelse om at være opmærksom på de hensyn, der skal tages undervejs i et forskningsprojekt. Men samtidig kan der være en risiko for, at man som forsker tror, at en tilslutning til nogle generelle retningslinjer med nødvendighed vil føre til en etisk forskningspraksis. Det vil sige, at man opfatter retningslinjerne som generiske, og at man dermed reducerer forskningsetiske overvejelserne til prædefinerede regler og adfærdskodekser, der er gældende og dækkende for alle typer af forskningsaktiviteter og inden for alle fagområder. God forskningsetik vil på den måde blive identisk med et </w:t>
      </w:r>
      <w:r w:rsidRPr="00BE050E">
        <w:rPr>
          <w:rFonts w:asciiTheme="minorHAnsi" w:hAnsiTheme="minorHAnsi"/>
        </w:rPr>
        <w:lastRenderedPageBreak/>
        <w:t xml:space="preserve">kontekstuafhængigt regelsæt, der er snævert knyttet til noget, man på forhånd kan og skal sikre sig. </w:t>
      </w:r>
    </w:p>
    <w:p w14:paraId="2B4F5699" w14:textId="77777777" w:rsidR="009F2986" w:rsidRDefault="004A4CE4" w:rsidP="00B5379C">
      <w:pPr>
        <w:spacing w:line="276" w:lineRule="auto"/>
        <w:ind w:firstLine="426"/>
        <w:rPr>
          <w:rFonts w:asciiTheme="minorHAnsi" w:hAnsiTheme="minorHAnsi"/>
        </w:rPr>
      </w:pPr>
      <w:r w:rsidRPr="00BE050E">
        <w:rPr>
          <w:rFonts w:asciiTheme="minorHAnsi" w:hAnsiTheme="minorHAnsi"/>
        </w:rPr>
        <w:t xml:space="preserve">Det betyder naturligvis ikke, at man </w:t>
      </w:r>
      <w:r w:rsidR="00E028FF">
        <w:rPr>
          <w:rFonts w:asciiTheme="minorHAnsi" w:hAnsiTheme="minorHAnsi"/>
        </w:rPr>
        <w:t xml:space="preserve">blot </w:t>
      </w:r>
      <w:r w:rsidRPr="00BE050E">
        <w:rPr>
          <w:rFonts w:asciiTheme="minorHAnsi" w:hAnsiTheme="minorHAnsi"/>
        </w:rPr>
        <w:t xml:space="preserve">kan underkende </w:t>
      </w:r>
      <w:proofErr w:type="spellStart"/>
      <w:r w:rsidRPr="00BE050E">
        <w:rPr>
          <w:rFonts w:asciiTheme="minorHAnsi" w:hAnsiTheme="minorHAnsi"/>
        </w:rPr>
        <w:t>procedurale</w:t>
      </w:r>
      <w:proofErr w:type="spellEnd"/>
      <w:r w:rsidRPr="00BE050E">
        <w:rPr>
          <w:rFonts w:asciiTheme="minorHAnsi" w:hAnsiTheme="minorHAnsi"/>
        </w:rPr>
        <w:t xml:space="preserve"> etiske retningslinjer og selvsagt heller ikke, at man skal undlade at udvise respekt og ansvarlighed i forskningsprocessen. Men det betyder, at en </w:t>
      </w:r>
      <w:proofErr w:type="spellStart"/>
      <w:r w:rsidRPr="00BE050E">
        <w:rPr>
          <w:rFonts w:asciiTheme="minorHAnsi" w:hAnsiTheme="minorHAnsi"/>
        </w:rPr>
        <w:t>procedural</w:t>
      </w:r>
      <w:proofErr w:type="spellEnd"/>
      <w:r w:rsidRPr="00BE050E">
        <w:rPr>
          <w:rFonts w:asciiTheme="minorHAnsi" w:hAnsiTheme="minorHAnsi"/>
        </w:rPr>
        <w:t xml:space="preserve"> tilgang til forskningsetik ikke bør stå alene, og at der kan være visse udfordringer knyttet til den. </w:t>
      </w:r>
    </w:p>
    <w:p w14:paraId="7FD446ED" w14:textId="77777777" w:rsidR="009F2986" w:rsidRDefault="004A4CE4" w:rsidP="00B5379C">
      <w:pPr>
        <w:spacing w:line="276" w:lineRule="auto"/>
        <w:ind w:firstLine="426"/>
        <w:rPr>
          <w:rFonts w:asciiTheme="minorHAnsi" w:hAnsiTheme="minorHAnsi"/>
        </w:rPr>
      </w:pPr>
      <w:r w:rsidRPr="00BE050E">
        <w:rPr>
          <w:rFonts w:asciiTheme="minorHAnsi" w:hAnsiTheme="minorHAnsi"/>
        </w:rPr>
        <w:t>Hvis man kigger på kravet om at indhente ’informeret samtykke’ som et eksempel på en generel anvisning, så er det oprindeligt en juridisk term, der blev indført i sundhedsvæsenet i midten af det 20. århundrede. Her handler den om, at lægen skal give patienten alle de informationer, som patienten har brug for, og patienten herefter skal give samtykke om, at han er informeret, og at behandlingen må udføres.</w:t>
      </w:r>
      <w:r w:rsidR="00D177F0">
        <w:rPr>
          <w:rStyle w:val="Fodnotehenvisning"/>
          <w:rFonts w:asciiTheme="minorHAnsi" w:hAnsiTheme="minorHAnsi"/>
        </w:rPr>
        <w:footnoteReference w:id="18"/>
      </w:r>
      <w:r w:rsidRPr="00BE050E">
        <w:rPr>
          <w:rFonts w:asciiTheme="minorHAnsi" w:hAnsiTheme="minorHAnsi"/>
        </w:rPr>
        <w:t xml:space="preserve"> Senere bliver termen anvendt i fx antropologisk og etnografisk forskning, hvor det – som i den biomedicinske forskning – overordnet handler om at tage hensyn til de mennesker, der deltager i videnskabelige undersøgelser. </w:t>
      </w:r>
    </w:p>
    <w:p w14:paraId="00285136" w14:textId="77777777" w:rsidR="009F2986" w:rsidRDefault="004A4CE4" w:rsidP="00B5379C">
      <w:pPr>
        <w:spacing w:line="276" w:lineRule="auto"/>
        <w:ind w:firstLine="426"/>
        <w:rPr>
          <w:rFonts w:asciiTheme="minorHAnsi" w:hAnsiTheme="minorHAnsi"/>
        </w:rPr>
      </w:pPr>
      <w:r w:rsidRPr="00BE050E">
        <w:rPr>
          <w:rFonts w:asciiTheme="minorHAnsi" w:hAnsiTheme="minorHAnsi" w:cs="Aparajita"/>
        </w:rPr>
        <w:t xml:space="preserve">’Informeret samtykke’ er en væsentlig del af god forskningsetik, og det er naturligvis fundamentalt grundlæggende i læge/patient-forhold. Men når det ukritisk overtages af andre fagområder, kan der opstå gråzoner. </w:t>
      </w:r>
      <w:r w:rsidRPr="00BE050E">
        <w:rPr>
          <w:rFonts w:asciiTheme="minorHAnsi" w:hAnsiTheme="minorHAnsi"/>
        </w:rPr>
        <w:t xml:space="preserve">Kan man overhovedet informere så detaljeret om et forskningsprojekt, at man er sikker på, at deltagerne </w:t>
      </w:r>
      <w:r w:rsidR="009F2986">
        <w:rPr>
          <w:rFonts w:asciiTheme="minorHAnsi" w:hAnsiTheme="minorHAnsi"/>
        </w:rPr>
        <w:t>ved, hvad de giver samtykke til?</w:t>
      </w:r>
      <w:r w:rsidRPr="00BE050E">
        <w:rPr>
          <w:rFonts w:asciiTheme="minorHAnsi" w:hAnsiTheme="minorHAnsi"/>
        </w:rPr>
        <w:t xml:space="preserve"> På den måde kan ’informeret samtykke’ komme til at have en kontraintentionel karakter, fordi det prætenderes, at forsker og deltagere har samme forståelse af projektets fo</w:t>
      </w:r>
      <w:r w:rsidR="009F2986">
        <w:rPr>
          <w:rFonts w:asciiTheme="minorHAnsi" w:hAnsiTheme="minorHAnsi"/>
        </w:rPr>
        <w:t>rmål, tilgange og implikationer –</w:t>
      </w:r>
      <w:r w:rsidRPr="00BE050E">
        <w:rPr>
          <w:rFonts w:asciiTheme="minorHAnsi" w:hAnsiTheme="minorHAnsi"/>
        </w:rPr>
        <w:t xml:space="preserve"> og således skabe unødvendige spændinger senere i projektet. </w:t>
      </w:r>
    </w:p>
    <w:p w14:paraId="5ACD1B89" w14:textId="77777777" w:rsidR="009F2986" w:rsidRDefault="004A4CE4" w:rsidP="00B5379C">
      <w:pPr>
        <w:spacing w:line="276" w:lineRule="auto"/>
        <w:ind w:firstLine="426"/>
        <w:rPr>
          <w:rFonts w:asciiTheme="minorHAnsi" w:hAnsiTheme="minorHAnsi"/>
        </w:rPr>
      </w:pPr>
      <w:r w:rsidRPr="00BE050E">
        <w:rPr>
          <w:rFonts w:asciiTheme="minorHAnsi" w:hAnsiTheme="minorHAnsi"/>
        </w:rPr>
        <w:t xml:space="preserve">Men spørgsmålet er i lige så høj grad, hvad det har af konsekvenser for et forskningsprojektets troværdighed og udsigelseskraft, at deltagerne kender til detaljer i fx forskningsspørgsmålet og undersøgelsesdesignet. Handler deltagerne på samme måde, hvis de i detaljer kender til forskningsprojektets tematikker? Kan det ikke påvirke deltagernes måde at agere på, og hvor efterlader det projektets mulighed for at drage plausible konklusioner (i hvert fald hvis ikke disse risici diskuteres). </w:t>
      </w:r>
    </w:p>
    <w:p w14:paraId="4B7D95FC" w14:textId="39CFE688" w:rsidR="009F2986" w:rsidRDefault="004A4CE4" w:rsidP="00B5379C">
      <w:pPr>
        <w:spacing w:line="276" w:lineRule="auto"/>
        <w:ind w:firstLine="426"/>
        <w:rPr>
          <w:rFonts w:asciiTheme="minorHAnsi" w:hAnsiTheme="minorHAnsi"/>
        </w:rPr>
      </w:pPr>
      <w:r w:rsidRPr="00BE050E">
        <w:rPr>
          <w:rFonts w:asciiTheme="minorHAnsi" w:hAnsiTheme="minorHAnsi"/>
        </w:rPr>
        <w:t xml:space="preserve">Jeg havde på et tidspunkt et projekt i to danske folkeskoleklasser, hvor jeg undersøgte, hvilke potentialer vanskeligheder kunne have for læring. Her indhentede jeg i begyndelsen informeret samtykke, lovede dem fortrolighed og anonymitet, og jeg informerede i detaljer om projektets tese om, at der i folkeskolen var en tendens til at kompleksitetsreducere og </w:t>
      </w:r>
      <w:proofErr w:type="spellStart"/>
      <w:r w:rsidRPr="00BE050E">
        <w:rPr>
          <w:rFonts w:asciiTheme="minorHAnsi" w:hAnsiTheme="minorHAnsi"/>
        </w:rPr>
        <w:t>facilitere</w:t>
      </w:r>
      <w:proofErr w:type="spellEnd"/>
      <w:r w:rsidRPr="00BE050E">
        <w:rPr>
          <w:rFonts w:asciiTheme="minorHAnsi" w:hAnsiTheme="minorHAnsi"/>
        </w:rPr>
        <w:t xml:space="preserve">, og at der måske kunne være et potentiale i at skabe rammer for, at vanskeligheder kunne udnyttes i undervisningen. Efterfølgende var der ingen grænser for, hvor mange vanskeligheder lærerne indlagde for deres elever. </w:t>
      </w:r>
    </w:p>
    <w:p w14:paraId="5727D67E" w14:textId="4992FED4" w:rsidR="004A4CE4" w:rsidRPr="00BE050E" w:rsidRDefault="004A4CE4" w:rsidP="00B5379C">
      <w:pPr>
        <w:spacing w:line="276" w:lineRule="auto"/>
        <w:ind w:firstLine="426"/>
        <w:rPr>
          <w:rFonts w:asciiTheme="minorHAnsi" w:hAnsiTheme="minorHAnsi"/>
        </w:rPr>
      </w:pPr>
      <w:r w:rsidRPr="00BE050E">
        <w:rPr>
          <w:rFonts w:asciiTheme="minorHAnsi" w:hAnsiTheme="minorHAnsi"/>
        </w:rPr>
        <w:t xml:space="preserve">Hermed naturligvis ikke sagt, at informeret samtykke altid vil være anfægteligt (der vil givetvis være store forskelle mellem de forskellige </w:t>
      </w:r>
      <w:proofErr w:type="spellStart"/>
      <w:r w:rsidRPr="00BE050E">
        <w:rPr>
          <w:rFonts w:asciiTheme="minorHAnsi" w:hAnsiTheme="minorHAnsi"/>
        </w:rPr>
        <w:t>fakultære</w:t>
      </w:r>
      <w:proofErr w:type="spellEnd"/>
      <w:r w:rsidRPr="00BE050E">
        <w:rPr>
          <w:rFonts w:asciiTheme="minorHAnsi" w:hAnsiTheme="minorHAnsi"/>
        </w:rPr>
        <w:t xml:space="preserve"> hovedområder), og man </w:t>
      </w:r>
      <w:r w:rsidR="009F2986">
        <w:rPr>
          <w:rFonts w:asciiTheme="minorHAnsi" w:hAnsiTheme="minorHAnsi"/>
        </w:rPr>
        <w:t>kan</w:t>
      </w:r>
      <w:r w:rsidRPr="00BE050E">
        <w:rPr>
          <w:rFonts w:asciiTheme="minorHAnsi" w:hAnsiTheme="minorHAnsi"/>
        </w:rPr>
        <w:t xml:space="preserve"> sagtens forestille sig, at der også her blev opstillet relevante</w:t>
      </w:r>
      <w:r w:rsidR="009F2986">
        <w:rPr>
          <w:rFonts w:asciiTheme="minorHAnsi" w:hAnsiTheme="minorHAnsi"/>
        </w:rPr>
        <w:t xml:space="preserve"> retningslinjer, der fx fastslår</w:t>
      </w:r>
      <w:r w:rsidRPr="00BE050E">
        <w:rPr>
          <w:rFonts w:asciiTheme="minorHAnsi" w:hAnsiTheme="minorHAnsi"/>
        </w:rPr>
        <w:t xml:space="preserve">, at </w:t>
      </w:r>
      <w:r w:rsidRPr="00BE050E">
        <w:rPr>
          <w:rFonts w:asciiTheme="minorHAnsi" w:hAnsiTheme="minorHAnsi"/>
        </w:rPr>
        <w:lastRenderedPageBreak/>
        <w:t xml:space="preserve">hvis et forskningsprojekt ændrer karakter, skal et informeret samtykke genindhentes. Problemstillingen er således langt fra entydig. </w:t>
      </w:r>
    </w:p>
    <w:p w14:paraId="64E90353" w14:textId="785D8FED" w:rsidR="004A4CE4" w:rsidRPr="00BE050E" w:rsidRDefault="004A4CE4" w:rsidP="0056107F">
      <w:pPr>
        <w:spacing w:line="276" w:lineRule="auto"/>
        <w:ind w:firstLine="426"/>
        <w:rPr>
          <w:rFonts w:asciiTheme="minorHAnsi" w:hAnsiTheme="minorHAnsi"/>
        </w:rPr>
      </w:pPr>
      <w:r w:rsidRPr="00BE050E">
        <w:rPr>
          <w:rFonts w:asciiTheme="minorHAnsi" w:hAnsiTheme="minorHAnsi"/>
        </w:rPr>
        <w:t xml:space="preserve">Det væsentlige er her, at </w:t>
      </w:r>
      <w:proofErr w:type="spellStart"/>
      <w:r w:rsidRPr="00BE050E">
        <w:rPr>
          <w:rFonts w:asciiTheme="minorHAnsi" w:hAnsiTheme="minorHAnsi"/>
        </w:rPr>
        <w:t>procedurale</w:t>
      </w:r>
      <w:proofErr w:type="spellEnd"/>
      <w:r w:rsidRPr="00BE050E">
        <w:rPr>
          <w:rFonts w:asciiTheme="minorHAnsi" w:hAnsiTheme="minorHAnsi"/>
        </w:rPr>
        <w:t xml:space="preserve"> retningslinjer for forskningsetik i</w:t>
      </w:r>
      <w:r w:rsidR="009F2986">
        <w:rPr>
          <w:rFonts w:asciiTheme="minorHAnsi" w:hAnsiTheme="minorHAnsi"/>
        </w:rPr>
        <w:t>kke kan overføres ukritisk fra é</w:t>
      </w:r>
      <w:r w:rsidRPr="00BE050E">
        <w:rPr>
          <w:rFonts w:asciiTheme="minorHAnsi" w:hAnsiTheme="minorHAnsi"/>
        </w:rPr>
        <w:t xml:space="preserve">n forskningspraksis til en anden, og samtidig at de ikke bør stå alene. Der kan være en risiko for, at de bliver omsat til et mekanisk forhold til forskningsetik, hvor det blot handler om at få vinget af, så man efterfølgende kan dokumentere, at man har indhentet informeret samtykke, anonymiseret deltagernes navne og sikret dem fortrolighed. Der kan endvidere være en risiko for, at de forskningsetiske problematikker, som dukker op i løbet af forskningsprojektet, men som man ikke på forhånd har kunnet udpege, og som derfor ikke er medtænkt i planlægningen, bliver negligeret eller bagatelliseret. </w:t>
      </w:r>
    </w:p>
    <w:p w14:paraId="1529FC5F" w14:textId="37147766" w:rsidR="004A4CE4" w:rsidRPr="00BE050E" w:rsidRDefault="004A4CE4" w:rsidP="0056107F">
      <w:pPr>
        <w:spacing w:line="276" w:lineRule="auto"/>
        <w:ind w:firstLine="426"/>
        <w:rPr>
          <w:rFonts w:asciiTheme="minorHAnsi" w:hAnsiTheme="minorHAnsi"/>
        </w:rPr>
      </w:pPr>
      <w:r w:rsidRPr="00BE050E">
        <w:rPr>
          <w:rFonts w:asciiTheme="minorHAnsi" w:hAnsiTheme="minorHAnsi"/>
        </w:rPr>
        <w:t xml:space="preserve">Hovedindvending overfor </w:t>
      </w:r>
      <w:proofErr w:type="spellStart"/>
      <w:r w:rsidRPr="00BE050E">
        <w:rPr>
          <w:rFonts w:asciiTheme="minorHAnsi" w:hAnsiTheme="minorHAnsi"/>
        </w:rPr>
        <w:t>procedural</w:t>
      </w:r>
      <w:proofErr w:type="spellEnd"/>
      <w:r w:rsidRPr="00BE050E">
        <w:rPr>
          <w:rFonts w:asciiTheme="minorHAnsi" w:hAnsiTheme="minorHAnsi"/>
        </w:rPr>
        <w:t xml:space="preserve"> forskningsetik handler således om, at hverken forskere eller deltagere på forhånd kan vide, hvilke etiske dilemmaer eller problemstillinger der dukker op i løbet af forskningsprocessen, og at det derfor er hensigtsmæssigt at tilføje en forskningsetik, der også medtænker problemstillinger, som opstår undervejs i forskningsprocessen. Ordet ’retningslinje’ er netop et udtryk for, at man lægger en linje, hvorefter man følger den retning, som linjen udstikker. Men problemet med en sådan forskningsetisk retningslinje er, at man ikke på forhånd kan vide, hvilken retning forskningsprocessen tager, og når man som forsker og deltager ikke ved, hvordan forskningsprocessen kommer til at forløbe, er det vanskeligt alene at henholde sig til den type præformuleret forskningsetik, som de </w:t>
      </w:r>
      <w:proofErr w:type="spellStart"/>
      <w:r w:rsidRPr="00BE050E">
        <w:rPr>
          <w:rFonts w:asciiTheme="minorHAnsi" w:hAnsiTheme="minorHAnsi"/>
        </w:rPr>
        <w:t>procedurale</w:t>
      </w:r>
      <w:proofErr w:type="spellEnd"/>
      <w:r w:rsidRPr="00BE050E">
        <w:rPr>
          <w:rFonts w:asciiTheme="minorHAnsi" w:hAnsiTheme="minorHAnsi"/>
        </w:rPr>
        <w:t xml:space="preserve"> er udtryk for. </w:t>
      </w:r>
    </w:p>
    <w:p w14:paraId="15A4E307" w14:textId="77777777" w:rsidR="004A4CE4" w:rsidRPr="00BE050E" w:rsidRDefault="004A4CE4" w:rsidP="006859A9">
      <w:pPr>
        <w:spacing w:line="276" w:lineRule="auto"/>
        <w:rPr>
          <w:rFonts w:asciiTheme="minorHAnsi" w:hAnsiTheme="minorHAnsi" w:cs="Tahoma"/>
        </w:rPr>
      </w:pPr>
    </w:p>
    <w:p w14:paraId="71A6342B" w14:textId="01217CB9" w:rsidR="004A4CE4" w:rsidRPr="00BE050E" w:rsidRDefault="004A4CE4" w:rsidP="006859A9">
      <w:pPr>
        <w:spacing w:line="276" w:lineRule="auto"/>
        <w:rPr>
          <w:rFonts w:asciiTheme="minorHAnsi" w:hAnsiTheme="minorHAnsi" w:cs="Tahoma"/>
          <w:b/>
        </w:rPr>
      </w:pPr>
      <w:r w:rsidRPr="00BE050E">
        <w:rPr>
          <w:rFonts w:asciiTheme="minorHAnsi" w:hAnsiTheme="minorHAnsi" w:cs="Tahoma"/>
          <w:b/>
        </w:rPr>
        <w:t>Partikularistisk forskningsetik</w:t>
      </w:r>
    </w:p>
    <w:p w14:paraId="1D6AA4E0" w14:textId="5D48E1B9" w:rsidR="004A4CE4" w:rsidRPr="00BE050E" w:rsidRDefault="004A4CE4" w:rsidP="006859A9">
      <w:pPr>
        <w:spacing w:line="276" w:lineRule="auto"/>
        <w:rPr>
          <w:rFonts w:asciiTheme="minorHAnsi" w:hAnsiTheme="minorHAnsi"/>
        </w:rPr>
      </w:pPr>
      <w:r w:rsidRPr="00BE050E">
        <w:rPr>
          <w:rFonts w:asciiTheme="minorHAnsi" w:hAnsiTheme="minorHAnsi" w:cs="Tahoma"/>
        </w:rPr>
        <w:t xml:space="preserve">Samtidig med, at der inden for forskningsverdenen har været tiltagende fokus på </w:t>
      </w:r>
      <w:r w:rsidRPr="00BE050E">
        <w:rPr>
          <w:rFonts w:asciiTheme="minorHAnsi" w:hAnsiTheme="minorHAnsi" w:cs="Times"/>
        </w:rPr>
        <w:t xml:space="preserve">forskningsetiske retningslinjer, har der </w:t>
      </w:r>
      <w:r w:rsidRPr="00BE050E">
        <w:rPr>
          <w:rFonts w:asciiTheme="minorHAnsi" w:hAnsiTheme="minorHAnsi" w:cs="Tahoma"/>
        </w:rPr>
        <w:t>været en så omsiggribende kritik</w:t>
      </w:r>
      <w:r w:rsidRPr="00BE050E">
        <w:rPr>
          <w:rFonts w:asciiTheme="minorHAnsi" w:hAnsiTheme="minorHAnsi" w:cs="Aparajita"/>
        </w:rPr>
        <w:t xml:space="preserve"> af disse retningslinjer, at man har talt om ”the new Research </w:t>
      </w:r>
      <w:proofErr w:type="spellStart"/>
      <w:r w:rsidRPr="00BE050E">
        <w:rPr>
          <w:rFonts w:asciiTheme="minorHAnsi" w:hAnsiTheme="minorHAnsi" w:cs="Aparajita"/>
        </w:rPr>
        <w:t>Ethics</w:t>
      </w:r>
      <w:proofErr w:type="spellEnd"/>
      <w:r w:rsidRPr="00BE050E">
        <w:rPr>
          <w:rFonts w:asciiTheme="minorHAnsi" w:hAnsiTheme="minorHAnsi" w:cs="Aparajita"/>
        </w:rPr>
        <w:t xml:space="preserve"> Framework”.</w:t>
      </w:r>
      <w:r w:rsidR="00D177F0">
        <w:rPr>
          <w:rStyle w:val="Fodnotehenvisning"/>
          <w:rFonts w:asciiTheme="minorHAnsi" w:hAnsiTheme="minorHAnsi" w:cs="Aparajita"/>
        </w:rPr>
        <w:footnoteReference w:id="19"/>
      </w:r>
      <w:r w:rsidRPr="00BE050E">
        <w:rPr>
          <w:rFonts w:asciiTheme="minorHAnsi" w:hAnsiTheme="minorHAnsi" w:cs="Aparajita"/>
        </w:rPr>
        <w:t xml:space="preserve"> Kritikken retter sig mod at betragte forskningsetik som </w:t>
      </w:r>
      <w:proofErr w:type="spellStart"/>
      <w:r w:rsidRPr="00BE050E">
        <w:rPr>
          <w:rFonts w:asciiTheme="minorHAnsi" w:hAnsiTheme="minorHAnsi" w:cs="Aparajita"/>
        </w:rPr>
        <w:t>dekontekstualiseret</w:t>
      </w:r>
      <w:proofErr w:type="spellEnd"/>
      <w:r w:rsidRPr="00BE050E">
        <w:rPr>
          <w:rFonts w:asciiTheme="minorHAnsi" w:hAnsiTheme="minorHAnsi" w:cs="Aparajita"/>
        </w:rPr>
        <w:t xml:space="preserve">, men rummer derudover en lang række forskellige indsigelser. </w:t>
      </w:r>
      <w:proofErr w:type="spellStart"/>
      <w:r w:rsidRPr="00BE050E">
        <w:rPr>
          <w:rFonts w:asciiTheme="minorHAnsi" w:hAnsiTheme="minorHAnsi" w:cs="Aparajita"/>
        </w:rPr>
        <w:t>O</w:t>
      </w:r>
      <w:r w:rsidR="00D177F0">
        <w:rPr>
          <w:rFonts w:asciiTheme="minorHAnsi" w:hAnsiTheme="minorHAnsi" w:cs="Aparajita"/>
        </w:rPr>
        <w:t>rb</w:t>
      </w:r>
      <w:proofErr w:type="spellEnd"/>
      <w:r w:rsidR="00D177F0">
        <w:rPr>
          <w:rFonts w:asciiTheme="minorHAnsi" w:hAnsiTheme="minorHAnsi" w:cs="Aparajita"/>
        </w:rPr>
        <w:t xml:space="preserve">, </w:t>
      </w:r>
      <w:proofErr w:type="spellStart"/>
      <w:r w:rsidR="00D177F0">
        <w:rPr>
          <w:rFonts w:asciiTheme="minorHAnsi" w:hAnsiTheme="minorHAnsi" w:cs="Aparajita"/>
        </w:rPr>
        <w:t>Eisenhauer</w:t>
      </w:r>
      <w:proofErr w:type="spellEnd"/>
      <w:r w:rsidR="00D177F0">
        <w:rPr>
          <w:rFonts w:asciiTheme="minorHAnsi" w:hAnsiTheme="minorHAnsi" w:cs="Aparajita"/>
        </w:rPr>
        <w:t xml:space="preserve"> og </w:t>
      </w:r>
      <w:proofErr w:type="spellStart"/>
      <w:r w:rsidR="00D177F0">
        <w:rPr>
          <w:rFonts w:asciiTheme="minorHAnsi" w:hAnsiTheme="minorHAnsi" w:cs="Aparajita"/>
        </w:rPr>
        <w:t>Wynaden</w:t>
      </w:r>
      <w:proofErr w:type="spellEnd"/>
      <w:r w:rsidR="00D177F0">
        <w:rPr>
          <w:rStyle w:val="Fodnotehenvisning"/>
          <w:rFonts w:asciiTheme="minorHAnsi" w:hAnsiTheme="minorHAnsi" w:cs="Aparajita"/>
        </w:rPr>
        <w:footnoteReference w:id="20"/>
      </w:r>
      <w:r w:rsidRPr="00BE050E">
        <w:rPr>
          <w:rFonts w:asciiTheme="minorHAnsi" w:hAnsiTheme="minorHAnsi" w:cs="Aparajita"/>
        </w:rPr>
        <w:t xml:space="preserve"> er nogle af de første til at fremhæve, at forskningsetiske retningslinjer ikke med nødvendighed sikrer et etisk forsvarligt forskningsprojekt, hvilket er på linje m</w:t>
      </w:r>
      <w:r w:rsidR="005E342E">
        <w:rPr>
          <w:rFonts w:asciiTheme="minorHAnsi" w:hAnsiTheme="minorHAnsi" w:cs="Aparajita"/>
        </w:rPr>
        <w:t xml:space="preserve">ed </w:t>
      </w:r>
      <w:proofErr w:type="spellStart"/>
      <w:r w:rsidR="005E342E">
        <w:rPr>
          <w:rFonts w:asciiTheme="minorHAnsi" w:hAnsiTheme="minorHAnsi" w:cs="Aparajita"/>
        </w:rPr>
        <w:t>Ramcharan</w:t>
      </w:r>
      <w:proofErr w:type="spellEnd"/>
      <w:r w:rsidR="005E342E">
        <w:rPr>
          <w:rFonts w:asciiTheme="minorHAnsi" w:hAnsiTheme="minorHAnsi" w:cs="Aparajita"/>
        </w:rPr>
        <w:t xml:space="preserve"> og </w:t>
      </w:r>
      <w:proofErr w:type="spellStart"/>
      <w:r w:rsidR="005E342E">
        <w:rPr>
          <w:rFonts w:asciiTheme="minorHAnsi" w:hAnsiTheme="minorHAnsi" w:cs="Aparajita"/>
        </w:rPr>
        <w:t>Cutcliffe</w:t>
      </w:r>
      <w:proofErr w:type="spellEnd"/>
      <w:r w:rsidR="005E342E">
        <w:rPr>
          <w:rStyle w:val="Fodnotehenvisning"/>
          <w:rFonts w:asciiTheme="minorHAnsi" w:hAnsiTheme="minorHAnsi" w:cs="Aparajita"/>
        </w:rPr>
        <w:footnoteReference w:id="21"/>
      </w:r>
      <w:r w:rsidRPr="00BE050E">
        <w:rPr>
          <w:rFonts w:asciiTheme="minorHAnsi" w:hAnsiTheme="minorHAnsi" w:cs="Aparajita"/>
        </w:rPr>
        <w:t>, som endvidere betoner, at det kan være vanskeligt at forholde sig til sådanne retningslinjer forud for et proje</w:t>
      </w:r>
      <w:r w:rsidR="005E342E">
        <w:rPr>
          <w:rFonts w:asciiTheme="minorHAnsi" w:hAnsiTheme="minorHAnsi" w:cs="Aparajita"/>
        </w:rPr>
        <w:t xml:space="preserve">kts gennemførelse. </w:t>
      </w:r>
      <w:proofErr w:type="spellStart"/>
      <w:r w:rsidR="005E342E">
        <w:rPr>
          <w:rFonts w:asciiTheme="minorHAnsi" w:hAnsiTheme="minorHAnsi" w:cs="Aparajita"/>
        </w:rPr>
        <w:t>Haimes</w:t>
      </w:r>
      <w:proofErr w:type="spellEnd"/>
      <w:r w:rsidR="005E342E">
        <w:rPr>
          <w:rFonts w:asciiTheme="minorHAnsi" w:hAnsiTheme="minorHAnsi" w:cs="Aparajita"/>
        </w:rPr>
        <w:t xml:space="preserve"> </w:t>
      </w:r>
      <w:r w:rsidRPr="00BE050E">
        <w:rPr>
          <w:rFonts w:asciiTheme="minorHAnsi" w:hAnsiTheme="minorHAnsi" w:cs="Aparajita"/>
        </w:rPr>
        <w:t xml:space="preserve">pointerer, at forskningsetiske overvejelser bør tage udgangspunkt i </w:t>
      </w:r>
      <w:r w:rsidRPr="00BE050E">
        <w:rPr>
          <w:rFonts w:asciiTheme="minorHAnsi" w:hAnsiTheme="minorHAnsi" w:cs="Arial"/>
        </w:rPr>
        <w:t xml:space="preserve">“the </w:t>
      </w:r>
      <w:proofErr w:type="spellStart"/>
      <w:r w:rsidRPr="00BE050E">
        <w:rPr>
          <w:rFonts w:asciiTheme="minorHAnsi" w:hAnsiTheme="minorHAnsi" w:cs="Arial"/>
        </w:rPr>
        <w:t>embodied</w:t>
      </w:r>
      <w:proofErr w:type="spellEnd"/>
      <w:r w:rsidRPr="00BE050E">
        <w:rPr>
          <w:rFonts w:asciiTheme="minorHAnsi" w:hAnsiTheme="minorHAnsi" w:cs="Arial"/>
        </w:rPr>
        <w:t xml:space="preserve"> reality” og “the </w:t>
      </w:r>
      <w:proofErr w:type="spellStart"/>
      <w:r w:rsidRPr="00BE050E">
        <w:rPr>
          <w:rFonts w:asciiTheme="minorHAnsi" w:hAnsiTheme="minorHAnsi" w:cs="Arial"/>
        </w:rPr>
        <w:t>lived</w:t>
      </w:r>
      <w:proofErr w:type="spellEnd"/>
      <w:r w:rsidRPr="00BE050E">
        <w:rPr>
          <w:rFonts w:asciiTheme="minorHAnsi" w:hAnsiTheme="minorHAnsi" w:cs="Arial"/>
        </w:rPr>
        <w:t xml:space="preserve"> </w:t>
      </w:r>
      <w:proofErr w:type="spellStart"/>
      <w:r w:rsidRPr="00BE050E">
        <w:rPr>
          <w:rFonts w:asciiTheme="minorHAnsi" w:hAnsiTheme="minorHAnsi" w:cs="Arial"/>
        </w:rPr>
        <w:t>experiences</w:t>
      </w:r>
      <w:proofErr w:type="spellEnd"/>
      <w:r w:rsidRPr="00BE050E">
        <w:rPr>
          <w:rFonts w:asciiTheme="minorHAnsi" w:hAnsiTheme="minorHAnsi" w:cs="Arial"/>
        </w:rPr>
        <w:t>”,</w:t>
      </w:r>
      <w:r w:rsidR="005E342E">
        <w:rPr>
          <w:rStyle w:val="Fodnotehenvisning"/>
          <w:rFonts w:asciiTheme="minorHAnsi" w:hAnsiTheme="minorHAnsi" w:cs="Aparajita"/>
        </w:rPr>
        <w:footnoteReference w:id="22"/>
      </w:r>
      <w:r w:rsidRPr="00BE050E">
        <w:rPr>
          <w:rFonts w:asciiTheme="minorHAnsi" w:hAnsiTheme="minorHAnsi" w:cs="Arial"/>
        </w:rPr>
        <w:t xml:space="preserve"> som opstår mellem </w:t>
      </w:r>
      <w:r w:rsidRPr="00BE050E">
        <w:rPr>
          <w:rFonts w:asciiTheme="minorHAnsi" w:hAnsiTheme="minorHAnsi" w:cs="Arial"/>
        </w:rPr>
        <w:lastRenderedPageBreak/>
        <w:t>forsker og deltagere.</w:t>
      </w:r>
      <w:r w:rsidR="005E342E">
        <w:rPr>
          <w:rStyle w:val="Fodnotehenvisning"/>
          <w:rFonts w:asciiTheme="minorHAnsi" w:hAnsiTheme="minorHAnsi" w:cs="Arial"/>
        </w:rPr>
        <w:footnoteReference w:id="23"/>
      </w:r>
      <w:r w:rsidRPr="00BE050E">
        <w:rPr>
          <w:rFonts w:asciiTheme="minorHAnsi" w:hAnsiTheme="minorHAnsi" w:cs="Arial"/>
        </w:rPr>
        <w:t xml:space="preserve"> </w:t>
      </w:r>
      <w:r w:rsidR="00DA4B55">
        <w:rPr>
          <w:rFonts w:asciiTheme="minorHAnsi" w:hAnsiTheme="minorHAnsi" w:cs="Arial"/>
        </w:rPr>
        <w:t>Denne opfattelse</w:t>
      </w:r>
      <w:r w:rsidR="005E342E">
        <w:rPr>
          <w:rFonts w:asciiTheme="minorHAnsi" w:hAnsiTheme="minorHAnsi" w:cs="Arial"/>
        </w:rPr>
        <w:t xml:space="preserve"> kan genfindes hos </w:t>
      </w:r>
      <w:proofErr w:type="spellStart"/>
      <w:r w:rsidR="005E342E">
        <w:rPr>
          <w:rFonts w:asciiTheme="minorHAnsi" w:hAnsiTheme="minorHAnsi" w:cs="Arial"/>
        </w:rPr>
        <w:t>Popke</w:t>
      </w:r>
      <w:proofErr w:type="spellEnd"/>
      <w:r w:rsidRPr="00BE050E">
        <w:rPr>
          <w:rFonts w:asciiTheme="minorHAnsi" w:hAnsiTheme="minorHAnsi" w:cs="Arial"/>
        </w:rPr>
        <w:t>,</w:t>
      </w:r>
      <w:r w:rsidR="005E342E">
        <w:rPr>
          <w:rStyle w:val="Fodnotehenvisning"/>
          <w:rFonts w:asciiTheme="minorHAnsi" w:hAnsiTheme="minorHAnsi" w:cs="Arial"/>
        </w:rPr>
        <w:footnoteReference w:id="24"/>
      </w:r>
      <w:r w:rsidRPr="00BE050E">
        <w:rPr>
          <w:rFonts w:asciiTheme="minorHAnsi" w:hAnsiTheme="minorHAnsi" w:cs="Arial"/>
        </w:rPr>
        <w:t xml:space="preserve"> som endvidere introducerer </w:t>
      </w:r>
      <w:r w:rsidRPr="00BE050E">
        <w:rPr>
          <w:rFonts w:asciiTheme="minorHAnsi" w:hAnsiTheme="minorHAnsi" w:cs="Aparajita"/>
        </w:rPr>
        <w:t>”</w:t>
      </w:r>
      <w:proofErr w:type="spellStart"/>
      <w:r w:rsidRPr="00BE050E">
        <w:rPr>
          <w:rFonts w:asciiTheme="minorHAnsi" w:hAnsiTheme="minorHAnsi" w:cs="Aparajita"/>
        </w:rPr>
        <w:t>relational</w:t>
      </w:r>
      <w:proofErr w:type="spellEnd"/>
      <w:r w:rsidRPr="00BE050E">
        <w:rPr>
          <w:rFonts w:asciiTheme="minorHAnsi" w:hAnsiTheme="minorHAnsi" w:cs="Aparajita"/>
        </w:rPr>
        <w:t xml:space="preserve"> </w:t>
      </w:r>
      <w:proofErr w:type="spellStart"/>
      <w:r w:rsidRPr="00BE050E">
        <w:rPr>
          <w:rFonts w:asciiTheme="minorHAnsi" w:hAnsiTheme="minorHAnsi" w:cs="Aparajita"/>
        </w:rPr>
        <w:t>ethics</w:t>
      </w:r>
      <w:proofErr w:type="spellEnd"/>
      <w:r w:rsidRPr="00BE050E">
        <w:rPr>
          <w:rFonts w:asciiTheme="minorHAnsi" w:hAnsiTheme="minorHAnsi" w:cs="Aparajita"/>
        </w:rPr>
        <w:t xml:space="preserve">” forstået som en etik, der betoner </w:t>
      </w:r>
      <w:proofErr w:type="spellStart"/>
      <w:r w:rsidRPr="00BE050E">
        <w:rPr>
          <w:rFonts w:asciiTheme="minorHAnsi" w:hAnsiTheme="minorHAnsi" w:cs="Aparajita"/>
          <w:i/>
        </w:rPr>
        <w:t>intersubjektivitet</w:t>
      </w:r>
      <w:proofErr w:type="spellEnd"/>
      <w:r w:rsidRPr="00BE050E">
        <w:rPr>
          <w:rFonts w:asciiTheme="minorHAnsi" w:hAnsiTheme="minorHAnsi" w:cs="Aparajita"/>
        </w:rPr>
        <w:t xml:space="preserve"> og </w:t>
      </w:r>
      <w:proofErr w:type="spellStart"/>
      <w:r w:rsidRPr="00BE050E">
        <w:rPr>
          <w:rFonts w:asciiTheme="minorHAnsi" w:hAnsiTheme="minorHAnsi" w:cs="Aparajita"/>
          <w:i/>
        </w:rPr>
        <w:t>forbundethed</w:t>
      </w:r>
      <w:proofErr w:type="spellEnd"/>
      <w:r w:rsidR="005E342E">
        <w:rPr>
          <w:rFonts w:asciiTheme="minorHAnsi" w:hAnsiTheme="minorHAnsi" w:cs="Aparajita"/>
        </w:rPr>
        <w:t xml:space="preserve">. </w:t>
      </w:r>
      <w:proofErr w:type="spellStart"/>
      <w:r w:rsidR="005E342E">
        <w:rPr>
          <w:rFonts w:asciiTheme="minorHAnsi" w:hAnsiTheme="minorHAnsi" w:cs="Aparajita"/>
        </w:rPr>
        <w:t>Guillemin</w:t>
      </w:r>
      <w:proofErr w:type="spellEnd"/>
      <w:r w:rsidR="005E342E">
        <w:rPr>
          <w:rFonts w:asciiTheme="minorHAnsi" w:hAnsiTheme="minorHAnsi" w:cs="Aparajita"/>
        </w:rPr>
        <w:t xml:space="preserve"> og </w:t>
      </w:r>
      <w:proofErr w:type="spellStart"/>
      <w:r w:rsidR="005E342E">
        <w:rPr>
          <w:rFonts w:asciiTheme="minorHAnsi" w:hAnsiTheme="minorHAnsi" w:cs="Aparajita"/>
        </w:rPr>
        <w:t>Gilliam</w:t>
      </w:r>
      <w:proofErr w:type="spellEnd"/>
      <w:r w:rsidR="005E342E">
        <w:rPr>
          <w:rStyle w:val="Fodnotehenvisning"/>
          <w:rFonts w:asciiTheme="minorHAnsi" w:hAnsiTheme="minorHAnsi" w:cs="Aparajita"/>
        </w:rPr>
        <w:footnoteReference w:id="25"/>
      </w:r>
      <w:r w:rsidR="005E342E">
        <w:rPr>
          <w:rFonts w:asciiTheme="minorHAnsi" w:hAnsiTheme="minorHAnsi" w:cs="Aparajita"/>
        </w:rPr>
        <w:t xml:space="preserve"> </w:t>
      </w:r>
      <w:r w:rsidRPr="00BE050E">
        <w:rPr>
          <w:rFonts w:asciiTheme="minorHAnsi" w:hAnsiTheme="minorHAnsi" w:cs="Aparajita"/>
        </w:rPr>
        <w:t xml:space="preserve">argumenterer for, at den forskningsetiske praksis bør knyttes til begrebet </w:t>
      </w:r>
      <w:r w:rsidRPr="00BE050E">
        <w:rPr>
          <w:rFonts w:asciiTheme="minorHAnsi" w:hAnsiTheme="minorHAnsi" w:cs="Aparajita"/>
          <w:i/>
        </w:rPr>
        <w:t>refleksivitet</w:t>
      </w:r>
      <w:r w:rsidR="00341D30">
        <w:rPr>
          <w:rFonts w:asciiTheme="minorHAnsi" w:hAnsiTheme="minorHAnsi" w:cs="Aparajita"/>
        </w:rPr>
        <w:t xml:space="preserve">, mens </w:t>
      </w:r>
      <w:proofErr w:type="spellStart"/>
      <w:r w:rsidR="00341D30">
        <w:rPr>
          <w:rFonts w:asciiTheme="minorHAnsi" w:hAnsiTheme="minorHAnsi" w:cs="Aparajita"/>
        </w:rPr>
        <w:t>Redwood</w:t>
      </w:r>
      <w:proofErr w:type="spellEnd"/>
      <w:r w:rsidR="00341D30">
        <w:rPr>
          <w:rStyle w:val="Fodnotehenvisning"/>
          <w:rFonts w:asciiTheme="minorHAnsi" w:hAnsiTheme="minorHAnsi" w:cs="Aparajita"/>
        </w:rPr>
        <w:footnoteReference w:id="26"/>
      </w:r>
      <w:r w:rsidR="00341D30">
        <w:rPr>
          <w:rFonts w:asciiTheme="minorHAnsi" w:hAnsiTheme="minorHAnsi" w:cs="Aparajita"/>
        </w:rPr>
        <w:t xml:space="preserve"> </w:t>
      </w:r>
      <w:r w:rsidRPr="00BE050E">
        <w:rPr>
          <w:rFonts w:asciiTheme="minorHAnsi" w:hAnsiTheme="minorHAnsi" w:cs="Aparajita"/>
        </w:rPr>
        <w:t xml:space="preserve">mere radikalt hævder, at forskningsetiske retningslinjer forarmer forskningsprocessen, fordi alternative tilgange til forskningsetik bliver undergravet i en sådan grad, at det vanskeliggør </w:t>
      </w:r>
      <w:proofErr w:type="spellStart"/>
      <w:r w:rsidRPr="00BE050E">
        <w:rPr>
          <w:rFonts w:asciiTheme="minorHAnsi" w:hAnsiTheme="minorHAnsi" w:cs="Aparajita"/>
        </w:rPr>
        <w:t>participatoriske</w:t>
      </w:r>
      <w:proofErr w:type="spellEnd"/>
      <w:r w:rsidRPr="00BE050E">
        <w:rPr>
          <w:rFonts w:asciiTheme="minorHAnsi" w:hAnsiTheme="minorHAnsi" w:cs="Aparajita"/>
        </w:rPr>
        <w:t xml:space="preserve"> undersøgelser. </w:t>
      </w:r>
      <w:proofErr w:type="spellStart"/>
      <w:r w:rsidR="00341D30">
        <w:rPr>
          <w:rFonts w:asciiTheme="minorHAnsi" w:hAnsiTheme="minorHAnsi" w:cstheme="minorHAnsi"/>
        </w:rPr>
        <w:t>Redwood</w:t>
      </w:r>
      <w:proofErr w:type="spellEnd"/>
      <w:r w:rsidR="00341D30">
        <w:rPr>
          <w:rFonts w:asciiTheme="minorHAnsi" w:hAnsiTheme="minorHAnsi" w:cstheme="minorHAnsi"/>
        </w:rPr>
        <w:t xml:space="preserve"> og </w:t>
      </w:r>
      <w:proofErr w:type="spellStart"/>
      <w:r w:rsidR="00341D30">
        <w:rPr>
          <w:rFonts w:asciiTheme="minorHAnsi" w:hAnsiTheme="minorHAnsi" w:cstheme="minorHAnsi"/>
        </w:rPr>
        <w:t>Todres</w:t>
      </w:r>
      <w:proofErr w:type="spellEnd"/>
      <w:r w:rsidR="00341D30">
        <w:rPr>
          <w:rStyle w:val="Fodnotehenvisning"/>
          <w:rFonts w:asciiTheme="minorHAnsi" w:hAnsiTheme="minorHAnsi" w:cstheme="minorHAnsi"/>
        </w:rPr>
        <w:footnoteReference w:id="27"/>
      </w:r>
      <w:r w:rsidRPr="00BE050E">
        <w:rPr>
          <w:rFonts w:asciiTheme="minorHAnsi" w:hAnsiTheme="minorHAnsi" w:cstheme="minorHAnsi"/>
        </w:rPr>
        <w:t xml:space="preserve"> pointerer, at det er nødvendigt med helt nye ord, hvis en ny forskningsetisk tilgang skal kunne fungere, og de byder selv ind med </w:t>
      </w:r>
      <w:r w:rsidRPr="00BE050E">
        <w:rPr>
          <w:rFonts w:asciiTheme="minorHAnsi" w:hAnsiTheme="minorHAnsi" w:cstheme="minorHAnsi"/>
          <w:i/>
        </w:rPr>
        <w:t>ansvar</w:t>
      </w:r>
      <w:r w:rsidRPr="00BE050E">
        <w:rPr>
          <w:rFonts w:asciiTheme="minorHAnsi" w:hAnsiTheme="minorHAnsi" w:cstheme="minorHAnsi"/>
        </w:rPr>
        <w:t xml:space="preserve"> og </w:t>
      </w:r>
      <w:r w:rsidRPr="00BE050E">
        <w:rPr>
          <w:rFonts w:asciiTheme="minorHAnsi" w:hAnsiTheme="minorHAnsi" w:cstheme="minorHAnsi"/>
          <w:i/>
        </w:rPr>
        <w:t>omsorg</w:t>
      </w:r>
      <w:r w:rsidRPr="00BE050E">
        <w:rPr>
          <w:rFonts w:asciiTheme="minorHAnsi" w:hAnsiTheme="minorHAnsi" w:cstheme="minorHAnsi"/>
        </w:rPr>
        <w:t xml:space="preserve"> knyttet til det, de kalder ”</w:t>
      </w:r>
      <w:proofErr w:type="spellStart"/>
      <w:r w:rsidRPr="00BE050E">
        <w:rPr>
          <w:rFonts w:asciiTheme="minorHAnsi" w:hAnsiTheme="minorHAnsi" w:cstheme="minorHAnsi"/>
        </w:rPr>
        <w:t>ethical</w:t>
      </w:r>
      <w:proofErr w:type="spellEnd"/>
      <w:r w:rsidRPr="00BE050E">
        <w:rPr>
          <w:rFonts w:asciiTheme="minorHAnsi" w:hAnsiTheme="minorHAnsi" w:cstheme="minorHAnsi"/>
        </w:rPr>
        <w:t xml:space="preserve"> imagination”.</w:t>
      </w:r>
      <w:r w:rsidRPr="00BE050E">
        <w:rPr>
          <w:rFonts w:asciiTheme="minorHAnsi" w:hAnsiTheme="minorHAnsi" w:cs="Aparajita"/>
        </w:rPr>
        <w:t xml:space="preserve"> Med udgangspunkt i Aristote</w:t>
      </w:r>
      <w:r w:rsidR="00341D30">
        <w:rPr>
          <w:rFonts w:asciiTheme="minorHAnsi" w:hAnsiTheme="minorHAnsi" w:cs="Aparajita"/>
        </w:rPr>
        <w:t xml:space="preserve">les’ etik bruger </w:t>
      </w:r>
      <w:proofErr w:type="spellStart"/>
      <w:r w:rsidR="00341D30">
        <w:rPr>
          <w:rFonts w:asciiTheme="minorHAnsi" w:hAnsiTheme="minorHAnsi" w:cs="Aparajita"/>
        </w:rPr>
        <w:t>Schwandt</w:t>
      </w:r>
      <w:proofErr w:type="spellEnd"/>
      <w:r w:rsidR="00341D30">
        <w:rPr>
          <w:rStyle w:val="Fodnotehenvisning"/>
          <w:rFonts w:asciiTheme="minorHAnsi" w:hAnsiTheme="minorHAnsi" w:cs="Aparajita"/>
        </w:rPr>
        <w:footnoteReference w:id="28"/>
      </w:r>
      <w:r w:rsidRPr="00BE050E">
        <w:rPr>
          <w:rFonts w:asciiTheme="minorHAnsi" w:hAnsiTheme="minorHAnsi" w:cs="Aparajita"/>
        </w:rPr>
        <w:t xml:space="preserve"> begrebet </w:t>
      </w:r>
      <w:proofErr w:type="spellStart"/>
      <w:r w:rsidRPr="00BE050E">
        <w:rPr>
          <w:rFonts w:asciiTheme="minorHAnsi" w:hAnsiTheme="minorHAnsi" w:cs="Aparajita"/>
          <w:i/>
        </w:rPr>
        <w:t>phronesis</w:t>
      </w:r>
      <w:proofErr w:type="spellEnd"/>
      <w:r w:rsidRPr="00BE050E">
        <w:rPr>
          <w:rFonts w:asciiTheme="minorHAnsi" w:hAnsiTheme="minorHAnsi" w:cs="Aparajita"/>
        </w:rPr>
        <w:t xml:space="preserve"> til at tale om god moral i forskningsprocessen, mens Skovdal og Abebe er fortalere for, at forskningsetik foregår som en dialog med deltagerne og som en måde at bygge bro mellem lokale og globale forskningsetiske forståelser.</w:t>
      </w:r>
      <w:r w:rsidR="00341D30">
        <w:rPr>
          <w:rStyle w:val="Fodnotehenvisning"/>
          <w:rFonts w:asciiTheme="minorHAnsi" w:hAnsiTheme="minorHAnsi" w:cs="Aparajita"/>
        </w:rPr>
        <w:footnoteReference w:id="29"/>
      </w:r>
      <w:r w:rsidRPr="00BE050E">
        <w:rPr>
          <w:rFonts w:asciiTheme="minorHAnsi" w:hAnsiTheme="minorHAnsi" w:cs="Aparajita"/>
        </w:rPr>
        <w:t xml:space="preserve"> Indenfor moderne antropologi kan der identificeres en lignende kritik, hvor der i stedet argumenteres for en ”</w:t>
      </w:r>
      <w:proofErr w:type="spellStart"/>
      <w:r w:rsidRPr="00BE050E">
        <w:rPr>
          <w:rFonts w:asciiTheme="minorHAnsi" w:hAnsiTheme="minorHAnsi" w:cs="Aparajita"/>
        </w:rPr>
        <w:t>emergent</w:t>
      </w:r>
      <w:proofErr w:type="spellEnd"/>
      <w:r w:rsidRPr="00BE050E">
        <w:rPr>
          <w:rFonts w:asciiTheme="minorHAnsi" w:hAnsiTheme="minorHAnsi" w:cs="Aparajita"/>
        </w:rPr>
        <w:t xml:space="preserve"> </w:t>
      </w:r>
      <w:proofErr w:type="spellStart"/>
      <w:r w:rsidRPr="00BE050E">
        <w:rPr>
          <w:rFonts w:asciiTheme="minorHAnsi" w:hAnsiTheme="minorHAnsi" w:cs="Aparajita"/>
        </w:rPr>
        <w:t>ethics</w:t>
      </w:r>
      <w:proofErr w:type="spellEnd"/>
      <w:r w:rsidRPr="00BE050E">
        <w:rPr>
          <w:rFonts w:asciiTheme="minorHAnsi" w:hAnsiTheme="minorHAnsi" w:cs="Aparajita"/>
        </w:rPr>
        <w:t>”,</w:t>
      </w:r>
      <w:r w:rsidR="00341D30">
        <w:rPr>
          <w:rStyle w:val="Fodnotehenvisning"/>
          <w:rFonts w:asciiTheme="minorHAnsi" w:hAnsiTheme="minorHAnsi" w:cs="Aparajita"/>
        </w:rPr>
        <w:footnoteReference w:id="30"/>
      </w:r>
      <w:r w:rsidRPr="00BE050E">
        <w:rPr>
          <w:rFonts w:asciiTheme="minorHAnsi" w:hAnsiTheme="minorHAnsi" w:cs="Aparajita"/>
        </w:rPr>
        <w:t xml:space="preserve"> som er forankret og indlejret i forskningens sociale praksisser.</w:t>
      </w:r>
      <w:r w:rsidR="00341D30">
        <w:rPr>
          <w:rStyle w:val="Fodnotehenvisning"/>
          <w:rFonts w:asciiTheme="minorHAnsi" w:hAnsiTheme="minorHAnsi" w:cs="Aparajita"/>
        </w:rPr>
        <w:footnoteReference w:id="31"/>
      </w:r>
      <w:r w:rsidRPr="00BE050E">
        <w:rPr>
          <w:rFonts w:asciiTheme="minorHAnsi" w:hAnsiTheme="minorHAnsi" w:cs="Aparajita"/>
        </w:rPr>
        <w:t xml:space="preserve"> I Kirsten Hastrups antologi</w:t>
      </w:r>
      <w:r w:rsidR="0072053D" w:rsidRPr="0072053D">
        <w:rPr>
          <w:rFonts w:asciiTheme="minorHAnsi" w:hAnsiTheme="minorHAnsi" w:cs="Aparajita"/>
        </w:rPr>
        <w:t xml:space="preserve"> </w:t>
      </w:r>
      <w:r w:rsidR="0072053D" w:rsidRPr="00BE050E">
        <w:rPr>
          <w:rFonts w:asciiTheme="minorHAnsi" w:hAnsiTheme="minorHAnsi" w:cs="Aparajita"/>
        </w:rPr>
        <w:t>om antropologisk forskningsetik</w:t>
      </w:r>
      <w:r w:rsidR="0072053D">
        <w:rPr>
          <w:rFonts w:asciiTheme="minorHAnsi" w:hAnsiTheme="minorHAnsi" w:cs="Aparajita"/>
        </w:rPr>
        <w:t>,</w:t>
      </w:r>
      <w:r w:rsidRPr="00BE050E">
        <w:rPr>
          <w:rFonts w:asciiTheme="minorHAnsi" w:hAnsiTheme="minorHAnsi" w:cs="Aparajita"/>
        </w:rPr>
        <w:t xml:space="preserve"> </w:t>
      </w:r>
      <w:r w:rsidRPr="00BE050E">
        <w:rPr>
          <w:rFonts w:asciiTheme="minorHAnsi" w:hAnsiTheme="minorHAnsi" w:cs="Aparajita"/>
          <w:i/>
        </w:rPr>
        <w:t>Mellem Mennesker</w:t>
      </w:r>
      <w:r w:rsidR="0072053D">
        <w:rPr>
          <w:rFonts w:asciiTheme="minorHAnsi" w:hAnsiTheme="minorHAnsi" w:cs="Aparajita"/>
        </w:rPr>
        <w:t xml:space="preserve">, </w:t>
      </w:r>
      <w:r w:rsidRPr="00BE050E">
        <w:rPr>
          <w:rFonts w:asciiTheme="minorHAnsi" w:hAnsiTheme="minorHAnsi" w:cs="Aparajita"/>
        </w:rPr>
        <w:t>fokuseres netop på at vise, hvordan de etiske problemstillinger udspringer af konkrete udfordringer og dilemmaer i konkrete projekter.</w:t>
      </w:r>
      <w:r w:rsidR="00341D30">
        <w:rPr>
          <w:rStyle w:val="Fodnotehenvisning"/>
          <w:rFonts w:asciiTheme="minorHAnsi" w:hAnsiTheme="minorHAnsi" w:cs="Aparajita"/>
        </w:rPr>
        <w:footnoteReference w:id="32"/>
      </w:r>
      <w:r w:rsidRPr="00BE050E">
        <w:rPr>
          <w:rFonts w:asciiTheme="minorHAnsi" w:hAnsiTheme="minorHAnsi" w:cs="Aparajita"/>
        </w:rPr>
        <w:t xml:space="preserve"> Derudover kan man finde mere eller mindre eksplicitte problematiseringer af formaliserede forskningsetiske retningslinjer hos en række andre forskere allerede i 1990’erne.</w:t>
      </w:r>
      <w:r w:rsidR="00341D30">
        <w:rPr>
          <w:rStyle w:val="Fodnotehenvisning"/>
          <w:rFonts w:asciiTheme="minorHAnsi" w:hAnsiTheme="minorHAnsi" w:cs="Aparajita"/>
        </w:rPr>
        <w:footnoteReference w:id="33"/>
      </w:r>
    </w:p>
    <w:p w14:paraId="1F43EB23" w14:textId="6DFFE62A" w:rsidR="004A4CE4" w:rsidRPr="00BE050E" w:rsidRDefault="004A4CE4" w:rsidP="006859A9">
      <w:pPr>
        <w:spacing w:line="276" w:lineRule="auto"/>
        <w:ind w:firstLine="426"/>
        <w:rPr>
          <w:rFonts w:asciiTheme="minorHAnsi" w:hAnsiTheme="minorHAnsi" w:cs="Aparajita"/>
        </w:rPr>
      </w:pPr>
      <w:r w:rsidRPr="00BE050E">
        <w:rPr>
          <w:rFonts w:asciiTheme="minorHAnsi" w:hAnsiTheme="minorHAnsi" w:cs="Aparajita"/>
        </w:rPr>
        <w:lastRenderedPageBreak/>
        <w:t xml:space="preserve">Ovennævnte kan samlet set betragtes som en kritik af forskningsetiske retningslinjer, når de </w:t>
      </w:r>
      <w:proofErr w:type="spellStart"/>
      <w:r w:rsidRPr="00BE050E">
        <w:rPr>
          <w:rFonts w:asciiTheme="minorHAnsi" w:hAnsiTheme="minorHAnsi" w:cs="Aparajita"/>
        </w:rPr>
        <w:t>dekontekstualiseres</w:t>
      </w:r>
      <w:proofErr w:type="spellEnd"/>
      <w:r w:rsidRPr="00BE050E">
        <w:rPr>
          <w:rFonts w:asciiTheme="minorHAnsi" w:hAnsiTheme="minorHAnsi" w:cs="Aparajita"/>
        </w:rPr>
        <w:t xml:space="preserve">. </w:t>
      </w:r>
      <w:r w:rsidRPr="00BE050E">
        <w:rPr>
          <w:rFonts w:asciiTheme="minorHAnsi" w:hAnsiTheme="minorHAnsi" w:cstheme="minorHAnsi"/>
        </w:rPr>
        <w:t>Pointen er, at sådanne retningslinjer ikke kan indfange den kompleksitet, der er i praksis, og at de derfor kun meget sjældent kan bruges til at sige noget om, hvad der måtte være det mest hensigtsmæssige at gøre i en konkret og specifik situation.</w:t>
      </w:r>
      <w:r w:rsidR="00341D30">
        <w:rPr>
          <w:rStyle w:val="Fodnotehenvisning"/>
          <w:rFonts w:asciiTheme="minorHAnsi" w:hAnsiTheme="minorHAnsi" w:cstheme="minorHAnsi"/>
        </w:rPr>
        <w:footnoteReference w:id="34"/>
      </w:r>
      <w:r w:rsidRPr="00BE050E">
        <w:rPr>
          <w:rFonts w:asciiTheme="minorHAnsi" w:hAnsiTheme="minorHAnsi" w:cstheme="minorHAnsi"/>
        </w:rPr>
        <w:t xml:space="preserve"> </w:t>
      </w:r>
    </w:p>
    <w:p w14:paraId="2B374258" w14:textId="2C8C83B3" w:rsidR="004A4CE4" w:rsidRPr="00BE050E" w:rsidRDefault="004A4CE4" w:rsidP="00B57CDB">
      <w:pPr>
        <w:spacing w:line="276" w:lineRule="auto"/>
        <w:ind w:firstLine="426"/>
        <w:rPr>
          <w:rFonts w:asciiTheme="minorHAnsi" w:hAnsiTheme="minorHAnsi" w:cs="Aparajita"/>
        </w:rPr>
      </w:pPr>
      <w:r w:rsidRPr="00BE050E">
        <w:rPr>
          <w:rFonts w:asciiTheme="minorHAnsi" w:hAnsiTheme="minorHAnsi" w:cs="Aparajita"/>
        </w:rPr>
        <w:t>Det, der skal trækkes frem og gøres til genstand for analyse og videreudvikling i det kommende afsnit, er således de forskningsetiske overvejelser, der har udgangspunkt i det kontinuerlige ansvar, som forskeren også har undervejs i forskningsprojektet.</w:t>
      </w:r>
    </w:p>
    <w:p w14:paraId="2065CCBE" w14:textId="77777777" w:rsidR="003E11CD" w:rsidRDefault="004A4CE4" w:rsidP="00B57CDB">
      <w:pPr>
        <w:spacing w:line="276" w:lineRule="auto"/>
        <w:ind w:firstLine="426"/>
        <w:rPr>
          <w:rFonts w:asciiTheme="minorHAnsi" w:hAnsiTheme="minorHAnsi" w:cs="Aparajita"/>
        </w:rPr>
      </w:pPr>
      <w:r w:rsidRPr="00BE050E">
        <w:rPr>
          <w:rFonts w:asciiTheme="minorHAnsi" w:hAnsiTheme="minorHAnsi" w:cs="Aparajita"/>
        </w:rPr>
        <w:t xml:space="preserve">Ved partikularistisk forskningsetik forstår jeg en forskningsetik, som tager udgangspunkt i de enkelte, afgrænsede hændelser eller situationer (etymologisk kommer det af det latinske </w:t>
      </w:r>
      <w:proofErr w:type="spellStart"/>
      <w:r w:rsidRPr="00BE050E">
        <w:rPr>
          <w:rFonts w:asciiTheme="minorHAnsi" w:hAnsiTheme="minorHAnsi" w:cs="Aparajita"/>
          <w:i/>
        </w:rPr>
        <w:t>particularis</w:t>
      </w:r>
      <w:proofErr w:type="spellEnd"/>
      <w:r w:rsidRPr="00BE050E">
        <w:rPr>
          <w:rFonts w:asciiTheme="minorHAnsi" w:hAnsiTheme="minorHAnsi" w:cs="Aparajita"/>
        </w:rPr>
        <w:t xml:space="preserve">, som betyder ’speciel’). Det er altså en forskningsetik, der ikke søger prædefinerede retningslinjer, men i stedet er knyttet til de konkrete situationer, som de etiske problemstillinger optræder i. En partikularistisk forskningsetik er så at sige ensbetydende med at argumentere ud fra det partikulære i stedet for at tage udgangspunkt i principper. </w:t>
      </w:r>
    </w:p>
    <w:p w14:paraId="005ABC7F" w14:textId="6435AB70" w:rsidR="004A4CE4" w:rsidRPr="00BE050E" w:rsidRDefault="003E11CD" w:rsidP="00B57CDB">
      <w:pPr>
        <w:spacing w:line="276" w:lineRule="auto"/>
        <w:ind w:firstLine="426"/>
        <w:rPr>
          <w:rFonts w:asciiTheme="minorHAnsi" w:hAnsiTheme="minorHAnsi" w:cs="Aparajita"/>
        </w:rPr>
      </w:pPr>
      <w:r>
        <w:rPr>
          <w:rFonts w:asciiTheme="minorHAnsi" w:hAnsiTheme="minorHAnsi" w:cs="Aparajita"/>
        </w:rPr>
        <w:t>En filosofisk</w:t>
      </w:r>
      <w:r w:rsidR="004A4CE4" w:rsidRPr="00BE050E">
        <w:rPr>
          <w:rFonts w:asciiTheme="minorHAnsi" w:hAnsiTheme="minorHAnsi" w:cs="Aparajita"/>
        </w:rPr>
        <w:t xml:space="preserve"> begrundelse er, at </w:t>
      </w:r>
      <w:r w:rsidR="004A4CE4" w:rsidRPr="00BE050E">
        <w:rPr>
          <w:rFonts w:asciiTheme="minorHAnsi" w:hAnsiTheme="minorHAnsi"/>
        </w:rPr>
        <w:t>bestemmelsen af det etiske altid vil være under tilblivelse, og at man derfor ikke kan udarbejde en apriorisk bestemmelse af forskningsetik.</w:t>
      </w:r>
      <w:r w:rsidR="00341D30">
        <w:rPr>
          <w:rStyle w:val="Fodnotehenvisning"/>
          <w:rFonts w:asciiTheme="minorHAnsi" w:hAnsiTheme="minorHAnsi"/>
        </w:rPr>
        <w:footnoteReference w:id="35"/>
      </w:r>
      <w:r w:rsidR="004A4CE4" w:rsidRPr="00BE050E">
        <w:rPr>
          <w:rFonts w:asciiTheme="minorHAnsi" w:hAnsiTheme="minorHAnsi"/>
        </w:rPr>
        <w:t xml:space="preserve"> Pointen er altså, at forskningsetik ikke alene kan betragtes som et </w:t>
      </w:r>
      <w:r w:rsidR="004A4CE4" w:rsidRPr="00BE050E">
        <w:rPr>
          <w:rFonts w:asciiTheme="minorHAnsi" w:hAnsiTheme="minorHAnsi" w:cs="Aparajita"/>
        </w:rPr>
        <w:t xml:space="preserve">vedhæng, der kan afdækkes, klargøres og implementeres én gang for alle, men at den er indlejret i hele forskningsprojektet – fra de indledende overvejelser om tema og problemstilling til de afsluttende om formidling. </w:t>
      </w:r>
    </w:p>
    <w:p w14:paraId="0E99D839" w14:textId="765E5F3B" w:rsidR="004A4CE4" w:rsidRPr="00BE050E" w:rsidRDefault="004A4CE4" w:rsidP="00E5146A">
      <w:pPr>
        <w:spacing w:line="276" w:lineRule="auto"/>
        <w:ind w:firstLine="426"/>
        <w:rPr>
          <w:rFonts w:asciiTheme="minorHAnsi" w:hAnsiTheme="minorHAnsi" w:cs="Arial"/>
        </w:rPr>
      </w:pPr>
      <w:r w:rsidRPr="00BE050E">
        <w:rPr>
          <w:rFonts w:asciiTheme="minorHAnsi" w:hAnsiTheme="minorHAnsi" w:cs="Aparajita"/>
        </w:rPr>
        <w:t xml:space="preserve">Det vil sige, at man som forsker må overveje, hvordan man fortløbende og dynamisk kan arbejde etisk undervejs i forskningsprojektet. </w:t>
      </w:r>
      <w:r w:rsidRPr="00BE050E">
        <w:rPr>
          <w:rFonts w:asciiTheme="minorHAnsi" w:hAnsiTheme="minorHAnsi" w:cs="Arial"/>
        </w:rPr>
        <w:t xml:space="preserve">De øjeblikke i forskningsprocessen, hvor en bestemt tilgang vælges eller fravælges, eller hvor der træffes vigtige beslutninger, omtaler Marilys </w:t>
      </w:r>
      <w:proofErr w:type="spellStart"/>
      <w:r w:rsidRPr="00BE050E">
        <w:rPr>
          <w:rFonts w:asciiTheme="minorHAnsi" w:hAnsiTheme="minorHAnsi" w:cs="Arial"/>
        </w:rPr>
        <w:t>Guillemin</w:t>
      </w:r>
      <w:proofErr w:type="spellEnd"/>
      <w:r w:rsidRPr="00BE050E">
        <w:rPr>
          <w:rFonts w:asciiTheme="minorHAnsi" w:hAnsiTheme="minorHAnsi" w:cs="Arial"/>
        </w:rPr>
        <w:t xml:space="preserve"> og Lynn </w:t>
      </w:r>
      <w:proofErr w:type="spellStart"/>
      <w:r w:rsidRPr="00BE050E">
        <w:rPr>
          <w:rFonts w:asciiTheme="minorHAnsi" w:hAnsiTheme="minorHAnsi" w:cs="Arial"/>
        </w:rPr>
        <w:t>Gillam</w:t>
      </w:r>
      <w:proofErr w:type="spellEnd"/>
      <w:r w:rsidRPr="00BE050E">
        <w:rPr>
          <w:rFonts w:asciiTheme="minorHAnsi" w:hAnsiTheme="minorHAnsi" w:cs="Arial"/>
        </w:rPr>
        <w:t xml:space="preserve"> som </w:t>
      </w:r>
      <w:r w:rsidRPr="00BE050E">
        <w:rPr>
          <w:rFonts w:asciiTheme="minorHAnsi" w:hAnsiTheme="minorHAnsi"/>
        </w:rPr>
        <w:t>“</w:t>
      </w:r>
      <w:proofErr w:type="spellStart"/>
      <w:r w:rsidRPr="00BE050E">
        <w:rPr>
          <w:rFonts w:asciiTheme="minorHAnsi" w:hAnsiTheme="minorHAnsi"/>
        </w:rPr>
        <w:t>ethically</w:t>
      </w:r>
      <w:proofErr w:type="spellEnd"/>
      <w:r w:rsidRPr="00BE050E">
        <w:rPr>
          <w:rFonts w:asciiTheme="minorHAnsi" w:hAnsiTheme="minorHAnsi"/>
        </w:rPr>
        <w:t xml:space="preserve"> </w:t>
      </w:r>
      <w:proofErr w:type="spellStart"/>
      <w:r w:rsidRPr="00BE050E">
        <w:rPr>
          <w:rFonts w:asciiTheme="minorHAnsi" w:hAnsiTheme="minorHAnsi"/>
        </w:rPr>
        <w:t>important</w:t>
      </w:r>
      <w:proofErr w:type="spellEnd"/>
      <w:r w:rsidRPr="00BE050E">
        <w:rPr>
          <w:rFonts w:asciiTheme="minorHAnsi" w:hAnsiTheme="minorHAnsi"/>
        </w:rPr>
        <w:t xml:space="preserve"> moments”</w:t>
      </w:r>
      <w:r w:rsidR="00341D30">
        <w:rPr>
          <w:rFonts w:asciiTheme="minorHAnsi" w:hAnsiTheme="minorHAnsi"/>
        </w:rPr>
        <w:t>.</w:t>
      </w:r>
      <w:r w:rsidR="00341D30">
        <w:rPr>
          <w:rStyle w:val="Fodnotehenvisning"/>
          <w:rFonts w:asciiTheme="minorHAnsi" w:hAnsiTheme="minorHAnsi"/>
        </w:rPr>
        <w:footnoteReference w:id="36"/>
      </w:r>
      <w:r w:rsidRPr="00BE050E">
        <w:rPr>
          <w:rFonts w:asciiTheme="minorHAnsi" w:hAnsiTheme="minorHAnsi" w:cs="Arial"/>
        </w:rPr>
        <w:t xml:space="preserve"> </w:t>
      </w:r>
      <w:proofErr w:type="spellStart"/>
      <w:r w:rsidRPr="00BE050E">
        <w:rPr>
          <w:rFonts w:asciiTheme="minorHAnsi" w:hAnsiTheme="minorHAnsi" w:cs="Arial"/>
        </w:rPr>
        <w:t>Guillemin</w:t>
      </w:r>
      <w:proofErr w:type="spellEnd"/>
      <w:r w:rsidRPr="00BE050E">
        <w:rPr>
          <w:rFonts w:asciiTheme="minorHAnsi" w:hAnsiTheme="minorHAnsi" w:cs="Arial"/>
        </w:rPr>
        <w:t xml:space="preserve"> og </w:t>
      </w:r>
      <w:proofErr w:type="spellStart"/>
      <w:r w:rsidRPr="00BE050E">
        <w:rPr>
          <w:rFonts w:asciiTheme="minorHAnsi" w:hAnsiTheme="minorHAnsi" w:cs="Arial"/>
        </w:rPr>
        <w:t>Gillam</w:t>
      </w:r>
      <w:proofErr w:type="spellEnd"/>
      <w:r w:rsidRPr="00BE050E">
        <w:rPr>
          <w:rFonts w:asciiTheme="minorHAnsi" w:hAnsiTheme="minorHAnsi" w:cs="Arial"/>
        </w:rPr>
        <w:t xml:space="preserve"> nævner i den forbindelse et eksempel, hvor en kvinde i forbindelse med et forskningsprojekt om hjertelidelser pludselig fortæller intervieweren, at hun lige har fundet ud af, at hendes mand har misbrugt deres datter, siden datteren var barn.</w:t>
      </w:r>
      <w:r w:rsidR="00341D30">
        <w:rPr>
          <w:rStyle w:val="Fodnotehenvisning"/>
          <w:rFonts w:asciiTheme="minorHAnsi" w:hAnsiTheme="minorHAnsi" w:cs="Arial"/>
        </w:rPr>
        <w:footnoteReference w:id="37"/>
      </w:r>
      <w:r w:rsidRPr="00BE050E">
        <w:rPr>
          <w:rFonts w:asciiTheme="minorHAnsi" w:hAnsiTheme="minorHAnsi" w:cs="Arial"/>
        </w:rPr>
        <w:t xml:space="preserve"> Skal intervieweren nu bryde den lovede fortrolighed for at forhindre fortsat misbrug af datteren? Det er et etisk vigtigt øjeblik, hvor det valg, der træff</w:t>
      </w:r>
      <w:r w:rsidR="00EA3B79">
        <w:rPr>
          <w:rFonts w:asciiTheme="minorHAnsi" w:hAnsiTheme="minorHAnsi" w:cs="Arial"/>
        </w:rPr>
        <w:t>es, får store konsekvenser. I</w:t>
      </w:r>
      <w:r w:rsidRPr="00BE050E">
        <w:rPr>
          <w:rFonts w:asciiTheme="minorHAnsi" w:hAnsiTheme="minorHAnsi" w:cs="Arial"/>
        </w:rPr>
        <w:t xml:space="preserve"> sådanne øjeblikke handler det om at udvise refleksiv årvågenhed og erkende, at der er situationer, hvor der ikke alene kan søges hjælp i præformulerede retningslinjer.</w:t>
      </w:r>
    </w:p>
    <w:p w14:paraId="5A83BBF3" w14:textId="77777777" w:rsidR="00EA3B79" w:rsidRDefault="004A4CE4" w:rsidP="003D2590">
      <w:pPr>
        <w:spacing w:line="276" w:lineRule="auto"/>
        <w:ind w:firstLine="426"/>
        <w:rPr>
          <w:rFonts w:asciiTheme="minorHAnsi" w:hAnsiTheme="minorHAnsi" w:cs="Arial"/>
        </w:rPr>
      </w:pPr>
      <w:r w:rsidRPr="00BE050E">
        <w:rPr>
          <w:rFonts w:asciiTheme="minorHAnsi" w:hAnsiTheme="minorHAnsi" w:cs="Arial"/>
        </w:rPr>
        <w:t xml:space="preserve">Samtidig er det vigtigt at fremhæve, at </w:t>
      </w:r>
      <w:proofErr w:type="spellStart"/>
      <w:r w:rsidRPr="00BE050E">
        <w:rPr>
          <w:rFonts w:asciiTheme="minorHAnsi" w:hAnsiTheme="minorHAnsi" w:cs="Arial"/>
        </w:rPr>
        <w:t>procedural</w:t>
      </w:r>
      <w:proofErr w:type="spellEnd"/>
      <w:r w:rsidRPr="00BE050E">
        <w:rPr>
          <w:rFonts w:asciiTheme="minorHAnsi" w:hAnsiTheme="minorHAnsi" w:cs="Arial"/>
        </w:rPr>
        <w:t xml:space="preserve"> forskningsetik netop blev til, fordi forskere ikke var i stand til at udvise denne form for årvågenhed og dømmekraft, og det er svært at pe</w:t>
      </w:r>
      <w:r w:rsidR="00EA3B79">
        <w:rPr>
          <w:rFonts w:asciiTheme="minorHAnsi" w:hAnsiTheme="minorHAnsi" w:cs="Arial"/>
        </w:rPr>
        <w:t>ge</w:t>
      </w:r>
      <w:r w:rsidRPr="00BE050E">
        <w:rPr>
          <w:rFonts w:asciiTheme="minorHAnsi" w:hAnsiTheme="minorHAnsi" w:cs="Arial"/>
        </w:rPr>
        <w:t xml:space="preserve"> præcist på, hvorfor det skulle have ændret sig. Vil forskere ikke stadig have vanskeligt ved altid at udvise rettidig og agtsom omhu? </w:t>
      </w:r>
    </w:p>
    <w:p w14:paraId="7B66AC07" w14:textId="224839FC" w:rsidR="004A4CE4" w:rsidRPr="00BE050E" w:rsidRDefault="004A4CE4" w:rsidP="003D2590">
      <w:pPr>
        <w:spacing w:line="276" w:lineRule="auto"/>
        <w:ind w:firstLine="426"/>
        <w:rPr>
          <w:rFonts w:asciiTheme="minorHAnsi" w:hAnsiTheme="minorHAnsi" w:cs="Arial"/>
        </w:rPr>
      </w:pPr>
      <w:r w:rsidRPr="00BE050E">
        <w:rPr>
          <w:rFonts w:asciiTheme="minorHAnsi" w:hAnsiTheme="minorHAnsi" w:cs="Arial"/>
        </w:rPr>
        <w:lastRenderedPageBreak/>
        <w:t xml:space="preserve">Partikularistisk forskningsetik efterlader endvidere andre ubesvarede spørgsmål: Hvordan finder man ud af, hvad der er en etisk forsvarlig fremgangsmåde, når der opstår etiske afgørende øjeblikke, og hvem skal definere og bestemme, hvad det er rigtigst at gøre? </w:t>
      </w:r>
      <w:r w:rsidR="002A01F0">
        <w:rPr>
          <w:rFonts w:asciiTheme="minorHAnsi" w:hAnsiTheme="minorHAnsi" w:cs="Arial"/>
        </w:rPr>
        <w:t xml:space="preserve">Den største svaghed </w:t>
      </w:r>
      <w:r w:rsidRPr="00BE050E">
        <w:rPr>
          <w:rFonts w:asciiTheme="minorHAnsi" w:hAnsiTheme="minorHAnsi" w:cs="Arial"/>
        </w:rPr>
        <w:t>ved en partikularist</w:t>
      </w:r>
      <w:r w:rsidR="002A01F0">
        <w:rPr>
          <w:rFonts w:asciiTheme="minorHAnsi" w:hAnsiTheme="minorHAnsi" w:cs="Arial"/>
        </w:rPr>
        <w:t>isk forskningsetik er nok</w:t>
      </w:r>
      <w:r w:rsidRPr="00BE050E">
        <w:rPr>
          <w:rFonts w:asciiTheme="minorHAnsi" w:hAnsiTheme="minorHAnsi" w:cs="Arial"/>
        </w:rPr>
        <w:t>, at forskning stort set aldrig er så kompleks og uforudsigelig, at der ikke findes tidligere erfaringer eller praksis, man kan trække på og forholde sig til eller indarbejde som en slags rettesnor. En partikularistisk forskningsetik, hvor den rette fremgangsmåde alene tager udgangspunkt i den konkrete situation, kan således vende sig og blive kontraintentionel, fordi man som forsker forsømmer at medtænke tidligere tilfælde og opstille retningslinjer for, hvordan man vil håndtere det, hvis lignende situationer opstår senere.</w:t>
      </w:r>
    </w:p>
    <w:p w14:paraId="59114C1F" w14:textId="27637972" w:rsidR="004A4CE4" w:rsidRPr="00BE050E" w:rsidRDefault="004A4CE4" w:rsidP="004126C8">
      <w:pPr>
        <w:spacing w:line="276" w:lineRule="auto"/>
        <w:ind w:firstLine="426"/>
        <w:rPr>
          <w:rFonts w:asciiTheme="minorHAnsi" w:hAnsiTheme="minorHAnsi" w:cs="Arial"/>
        </w:rPr>
      </w:pPr>
      <w:r w:rsidRPr="00BE050E">
        <w:rPr>
          <w:rFonts w:asciiTheme="minorHAnsi" w:hAnsiTheme="minorHAnsi" w:cs="Arial"/>
        </w:rPr>
        <w:t xml:space="preserve">Spørgsmålet bliver </w:t>
      </w:r>
      <w:r w:rsidR="002A01F0">
        <w:rPr>
          <w:rFonts w:asciiTheme="minorHAnsi" w:hAnsiTheme="minorHAnsi" w:cs="Arial"/>
        </w:rPr>
        <w:t>derfor</w:t>
      </w:r>
      <w:r w:rsidRPr="00BE050E">
        <w:rPr>
          <w:rFonts w:asciiTheme="minorHAnsi" w:hAnsiTheme="minorHAnsi" w:cs="Arial"/>
        </w:rPr>
        <w:t>, hvordan man forholder sig til disse to væsensforskellige typer forskningsetik? Tilslutter man sig den ene af dem og lader den anden marginalisere, eller harmoniserer man dem og udglatter forskellene? I det følgende vil jeg forsøge at tænke de to typer sammen. Ikke som en addition eller en forsonlig mediering, men som det jeg har kaldt en pragmatisk-dualistisk forskningsetik.</w:t>
      </w:r>
    </w:p>
    <w:p w14:paraId="5D3C5A76" w14:textId="70DDD521" w:rsidR="004A4CE4" w:rsidRPr="00BE050E" w:rsidRDefault="004A4CE4" w:rsidP="004126C8">
      <w:pPr>
        <w:spacing w:line="276" w:lineRule="auto"/>
        <w:rPr>
          <w:rFonts w:asciiTheme="minorHAnsi" w:hAnsiTheme="minorHAnsi" w:cs="Arial"/>
        </w:rPr>
      </w:pPr>
    </w:p>
    <w:p w14:paraId="01920AD9" w14:textId="7D3CAB17" w:rsidR="004A4CE4" w:rsidRPr="00BE050E" w:rsidRDefault="004A4CE4" w:rsidP="00B57CDB">
      <w:pPr>
        <w:spacing w:line="276" w:lineRule="auto"/>
        <w:rPr>
          <w:rFonts w:asciiTheme="minorHAnsi" w:hAnsiTheme="minorHAnsi" w:cs="Aparajita"/>
          <w:b/>
        </w:rPr>
      </w:pPr>
      <w:r w:rsidRPr="00BE050E">
        <w:rPr>
          <w:rFonts w:asciiTheme="minorHAnsi" w:hAnsiTheme="minorHAnsi" w:cs="Aparajita"/>
          <w:b/>
        </w:rPr>
        <w:t>En pragmatisk-dualistisk forskningsetik</w:t>
      </w:r>
    </w:p>
    <w:p w14:paraId="0D3F0E60" w14:textId="77777777" w:rsidR="00C7595A" w:rsidRDefault="004A4CE4" w:rsidP="00B57CDB">
      <w:pPr>
        <w:spacing w:line="276" w:lineRule="auto"/>
        <w:rPr>
          <w:rFonts w:asciiTheme="minorHAnsi" w:hAnsiTheme="minorHAnsi" w:cs="Aparajita"/>
        </w:rPr>
      </w:pPr>
      <w:r w:rsidRPr="00BE050E">
        <w:rPr>
          <w:rFonts w:asciiTheme="minorHAnsi" w:hAnsiTheme="minorHAnsi"/>
        </w:rPr>
        <w:t xml:space="preserve">Den type forskningsetik, jeg foreslår i det følgende, har ikke til hensigt at afskaffe retningslinjer og er ikke relativistisk. Den anerkender således vigtigheden og nytten af retningslinjer som en integreret del af forskningsetik, men ikke som essensen af den, og den anerkender vigtigheden af at tage afsæt i de konkrete og kontekstafhængige problemstillinger og dilemmaer, som viser sig gennem hele forskningsprocessen, men ikke hvor </w:t>
      </w:r>
      <w:r w:rsidRPr="00BE050E">
        <w:rPr>
          <w:rFonts w:asciiTheme="minorHAnsi" w:hAnsiTheme="minorHAnsi" w:cs="Aparajita"/>
        </w:rPr>
        <w:t xml:space="preserve">det blot er op til den enkelte forsker at forholde sig til hver eneste situation, som om den er løsrevet fra tidligere situationer. </w:t>
      </w:r>
    </w:p>
    <w:p w14:paraId="3426202E" w14:textId="77777777" w:rsidR="00E27ED3" w:rsidRDefault="004A4CE4" w:rsidP="00C7595A">
      <w:pPr>
        <w:spacing w:line="276" w:lineRule="auto"/>
        <w:ind w:firstLine="426"/>
        <w:rPr>
          <w:rFonts w:asciiTheme="minorHAnsi" w:hAnsiTheme="minorHAnsi"/>
        </w:rPr>
      </w:pPr>
      <w:r w:rsidRPr="00BE050E">
        <w:rPr>
          <w:rFonts w:asciiTheme="minorHAnsi" w:hAnsiTheme="minorHAnsi"/>
        </w:rPr>
        <w:t xml:space="preserve">Den er således ikke udtryk for misbilligelse af hverken </w:t>
      </w:r>
      <w:proofErr w:type="spellStart"/>
      <w:r w:rsidRPr="00BE050E">
        <w:rPr>
          <w:rFonts w:asciiTheme="minorHAnsi" w:hAnsiTheme="minorHAnsi"/>
        </w:rPr>
        <w:t>procedurale</w:t>
      </w:r>
      <w:proofErr w:type="spellEnd"/>
      <w:r w:rsidRPr="00BE050E">
        <w:rPr>
          <w:rFonts w:asciiTheme="minorHAnsi" w:hAnsiTheme="minorHAnsi"/>
        </w:rPr>
        <w:t xml:space="preserve"> eller partikularistiske tilgange til forskningsetik. Tværtimod tager den netop afsæt i disse to. </w:t>
      </w:r>
    </w:p>
    <w:p w14:paraId="4BB1839F" w14:textId="4369D03E" w:rsidR="004A4CE4" w:rsidRPr="00BE050E" w:rsidRDefault="004A4CE4" w:rsidP="00C7595A">
      <w:pPr>
        <w:spacing w:line="276" w:lineRule="auto"/>
        <w:ind w:firstLine="426"/>
        <w:rPr>
          <w:rFonts w:asciiTheme="minorHAnsi" w:hAnsiTheme="minorHAnsi"/>
          <w:color w:val="252525"/>
          <w:shd w:val="clear" w:color="auto" w:fill="FFFFFF"/>
          <w:lang w:eastAsia="da-DK"/>
        </w:rPr>
      </w:pPr>
      <w:r w:rsidRPr="00BE050E">
        <w:rPr>
          <w:rFonts w:asciiTheme="minorHAnsi" w:hAnsiTheme="minorHAnsi"/>
        </w:rPr>
        <w:t>Jeg har valgt at benævne tilgangen pragmatisk-dualistisk forskningsetik.</w:t>
      </w:r>
      <w:r w:rsidRPr="00BE050E">
        <w:rPr>
          <w:rStyle w:val="Fodnotehenvisning"/>
          <w:rFonts w:asciiTheme="minorHAnsi" w:eastAsiaTheme="minorEastAsia" w:hAnsiTheme="minorHAnsi" w:cs="Times"/>
          <w:color w:val="000000"/>
          <w:lang w:eastAsia="da-DK"/>
        </w:rPr>
        <w:footnoteReference w:id="38"/>
      </w:r>
      <w:r w:rsidRPr="00BE050E">
        <w:rPr>
          <w:rFonts w:asciiTheme="minorHAnsi" w:hAnsiTheme="minorHAnsi"/>
        </w:rPr>
        <w:t xml:space="preserve"> Tilgangen er </w:t>
      </w:r>
      <w:r w:rsidRPr="00BE050E">
        <w:rPr>
          <w:rFonts w:asciiTheme="minorHAnsi" w:hAnsiTheme="minorHAnsi"/>
          <w:i/>
        </w:rPr>
        <w:t>dualistisk</w:t>
      </w:r>
      <w:r w:rsidRPr="00BE050E">
        <w:rPr>
          <w:rFonts w:asciiTheme="minorHAnsi" w:hAnsiTheme="minorHAnsi"/>
        </w:rPr>
        <w:t>, fordi den t</w:t>
      </w:r>
      <w:r w:rsidRPr="00BE050E">
        <w:rPr>
          <w:rFonts w:asciiTheme="minorHAnsi" w:hAnsiTheme="minorHAnsi"/>
          <w:color w:val="333333"/>
          <w:lang w:eastAsia="da-DK"/>
        </w:rPr>
        <w:t xml:space="preserve">rækker på tilstedeværelse af to selvstændige, modsatrettede forståelser, </w:t>
      </w:r>
      <w:r w:rsidRPr="00BE050E">
        <w:rPr>
          <w:rFonts w:asciiTheme="minorHAnsi" w:hAnsiTheme="minorHAnsi"/>
          <w:color w:val="252525"/>
          <w:shd w:val="clear" w:color="auto" w:fill="FFFFFF"/>
          <w:lang w:eastAsia="da-DK"/>
        </w:rPr>
        <w:t xml:space="preserve">der er væsensforskellige, men samtidig ligeværdige sider af god forskningsetik, og den er </w:t>
      </w:r>
      <w:r w:rsidRPr="00BE050E">
        <w:rPr>
          <w:rFonts w:asciiTheme="minorHAnsi" w:hAnsiTheme="minorHAnsi"/>
          <w:i/>
          <w:color w:val="252525"/>
          <w:shd w:val="clear" w:color="auto" w:fill="FFFFFF"/>
          <w:lang w:eastAsia="da-DK"/>
        </w:rPr>
        <w:t>pragmatisk</w:t>
      </w:r>
      <w:r w:rsidRPr="00BE050E">
        <w:rPr>
          <w:rFonts w:asciiTheme="minorHAnsi" w:hAnsiTheme="minorHAnsi"/>
          <w:color w:val="252525"/>
          <w:shd w:val="clear" w:color="auto" w:fill="FFFFFF"/>
          <w:lang w:eastAsia="da-DK"/>
        </w:rPr>
        <w:t>, fordi denne dualisme først og fremmest har strukturel og institutionel karakter og altså er konstrueret med blikket rettet mod, hvad der vil være realistisk og hen</w:t>
      </w:r>
      <w:r w:rsidR="003F19DD">
        <w:rPr>
          <w:rFonts w:asciiTheme="minorHAnsi" w:hAnsiTheme="minorHAnsi"/>
          <w:color w:val="252525"/>
          <w:shd w:val="clear" w:color="auto" w:fill="FFFFFF"/>
          <w:lang w:eastAsia="da-DK"/>
        </w:rPr>
        <w:t>sigtsmæssigt at gøre i praksis.</w:t>
      </w:r>
    </w:p>
    <w:p w14:paraId="0D6BAFE8" w14:textId="4D66B722" w:rsidR="00E53BF4" w:rsidRPr="00BE050E" w:rsidRDefault="004A4CE4" w:rsidP="00B52AF4">
      <w:pPr>
        <w:spacing w:line="276" w:lineRule="auto"/>
        <w:ind w:firstLine="426"/>
        <w:rPr>
          <w:rFonts w:asciiTheme="minorHAnsi" w:hAnsiTheme="minorHAnsi"/>
          <w:color w:val="252525"/>
          <w:shd w:val="clear" w:color="auto" w:fill="FFFFFF"/>
          <w:lang w:eastAsia="da-DK"/>
        </w:rPr>
      </w:pPr>
      <w:r w:rsidRPr="00BE050E">
        <w:rPr>
          <w:rFonts w:asciiTheme="minorHAnsi" w:hAnsiTheme="minorHAnsi" w:cs="Aparajita"/>
        </w:rPr>
        <w:t>I den</w:t>
      </w:r>
      <w:r w:rsidR="003F19DD">
        <w:rPr>
          <w:rFonts w:asciiTheme="minorHAnsi" w:hAnsiTheme="minorHAnsi" w:cs="Aparajita"/>
        </w:rPr>
        <w:t>ne</w:t>
      </w:r>
      <w:r w:rsidRPr="00BE050E">
        <w:rPr>
          <w:rFonts w:asciiTheme="minorHAnsi" w:hAnsiTheme="minorHAnsi" w:cs="Aparajita"/>
        </w:rPr>
        <w:t xml:space="preserve"> dualistisk-pragmatiske forskningsetik tilstræber jeg en tilgang, hvor nye situationer behandles med et retrospektivt analytisk blik på tidligere situationer. Det vil sige en tilgang, hvor paradigmatiske cases medtænkes, og hvor beslutninger af forskningsetisk karakter baseres på tidligere erfaringer og praksisser og ikke blot besvares interimistisk af den enkelte forsker</w:t>
      </w:r>
      <w:r w:rsidRPr="00BE050E">
        <w:rPr>
          <w:rFonts w:asciiTheme="minorHAnsi" w:hAnsiTheme="minorHAnsi"/>
        </w:rPr>
        <w:t xml:space="preserve">. </w:t>
      </w:r>
      <w:r w:rsidRPr="00BE050E">
        <w:rPr>
          <w:rFonts w:asciiTheme="minorHAnsi" w:hAnsiTheme="minorHAnsi" w:cs="Aparajita"/>
        </w:rPr>
        <w:t xml:space="preserve">På den måde har jeg ikke opstillet generelle og </w:t>
      </w:r>
      <w:r w:rsidRPr="00BE050E">
        <w:rPr>
          <w:rFonts w:asciiTheme="minorHAnsi" w:hAnsiTheme="minorHAnsi" w:cstheme="minorHAnsi"/>
        </w:rPr>
        <w:t xml:space="preserve">standardiserede </w:t>
      </w:r>
      <w:r w:rsidRPr="00BE050E">
        <w:rPr>
          <w:rFonts w:asciiTheme="minorHAnsi" w:hAnsiTheme="minorHAnsi" w:cstheme="minorHAnsi"/>
        </w:rPr>
        <w:lastRenderedPageBreak/>
        <w:t xml:space="preserve">principper, hvilket </w:t>
      </w:r>
      <w:r w:rsidRPr="00BE050E">
        <w:rPr>
          <w:rFonts w:asciiTheme="minorHAnsi" w:hAnsiTheme="minorHAnsi" w:cs="Aparajita"/>
        </w:rPr>
        <w:t xml:space="preserve">også blot ville være udtryk for en ny type </w:t>
      </w:r>
      <w:proofErr w:type="spellStart"/>
      <w:r w:rsidRPr="00BE050E">
        <w:rPr>
          <w:rFonts w:asciiTheme="minorHAnsi" w:hAnsiTheme="minorHAnsi" w:cs="Aparajita"/>
        </w:rPr>
        <w:t>procedural</w:t>
      </w:r>
      <w:proofErr w:type="spellEnd"/>
      <w:r w:rsidRPr="00BE050E">
        <w:rPr>
          <w:rFonts w:asciiTheme="minorHAnsi" w:hAnsiTheme="minorHAnsi" w:cs="Aparajita"/>
        </w:rPr>
        <w:t xml:space="preserve"> forskningsetik, men jeg har konstrueret en fremgangsmåde, som jeg har søgt tilflugt i, når etiske problemstillinger har trængt sig på.</w:t>
      </w:r>
      <w:r w:rsidRPr="00BE050E">
        <w:rPr>
          <w:rStyle w:val="Fodnotehenvisning"/>
          <w:rFonts w:asciiTheme="minorHAnsi" w:hAnsiTheme="minorHAnsi" w:cs="Aparajita"/>
        </w:rPr>
        <w:footnoteReference w:id="39"/>
      </w:r>
      <w:r w:rsidRPr="00BE050E">
        <w:rPr>
          <w:rFonts w:asciiTheme="minorHAnsi" w:hAnsiTheme="minorHAnsi" w:cs="Aparajita"/>
        </w:rPr>
        <w:t xml:space="preserve"> </w:t>
      </w:r>
      <w:r w:rsidR="00E53BF4" w:rsidRPr="00BE050E">
        <w:rPr>
          <w:rFonts w:asciiTheme="minorHAnsi" w:hAnsiTheme="minorHAnsi" w:cs="Aparajita"/>
        </w:rPr>
        <w:t xml:space="preserve">Fremgangsmåden er naturligvis ikke absolut, men altid afrundet af og indlejret i den </w:t>
      </w:r>
      <w:r w:rsidR="00B52AF4" w:rsidRPr="00BE050E">
        <w:rPr>
          <w:rFonts w:asciiTheme="minorHAnsi" w:hAnsiTheme="minorHAnsi" w:cs="Aparajita"/>
        </w:rPr>
        <w:t xml:space="preserve">konkrete </w:t>
      </w:r>
      <w:r w:rsidR="00E53BF4" w:rsidRPr="00BE050E">
        <w:rPr>
          <w:rFonts w:asciiTheme="minorHAnsi" w:hAnsiTheme="minorHAnsi" w:cs="Aparajita"/>
        </w:rPr>
        <w:t>kontekst, jeg er i:</w:t>
      </w:r>
    </w:p>
    <w:p w14:paraId="7747FD31" w14:textId="77777777" w:rsidR="00E53BF4" w:rsidRPr="00BE050E" w:rsidRDefault="00E53BF4" w:rsidP="006859A9">
      <w:pPr>
        <w:spacing w:line="276" w:lineRule="auto"/>
        <w:ind w:firstLine="426"/>
        <w:rPr>
          <w:rFonts w:asciiTheme="minorHAnsi" w:hAnsiTheme="minorHAnsi" w:cs="Aparajita"/>
        </w:rPr>
      </w:pPr>
    </w:p>
    <w:p w14:paraId="1FC93D8F" w14:textId="788C80AB" w:rsidR="00E53BF4" w:rsidRPr="00BE050E" w:rsidRDefault="00E53BF4" w:rsidP="00CD4C44">
      <w:pPr>
        <w:pStyle w:val="Listeafsnit"/>
        <w:numPr>
          <w:ilvl w:val="0"/>
          <w:numId w:val="1"/>
        </w:numPr>
        <w:spacing w:line="276" w:lineRule="auto"/>
        <w:ind w:firstLine="65"/>
        <w:rPr>
          <w:rFonts w:asciiTheme="minorHAnsi" w:hAnsiTheme="minorHAnsi" w:cs="Aparajita"/>
        </w:rPr>
      </w:pPr>
      <w:r w:rsidRPr="00BE050E">
        <w:rPr>
          <w:rFonts w:asciiTheme="minorHAnsi" w:hAnsiTheme="minorHAnsi" w:cs="Aparajita"/>
          <w:i/>
        </w:rPr>
        <w:t>Case-fremstilling</w:t>
      </w:r>
    </w:p>
    <w:p w14:paraId="064B5B10" w14:textId="413120D9" w:rsidR="00E53BF4" w:rsidRPr="00BE050E" w:rsidRDefault="00E53BF4" w:rsidP="00CD4C44">
      <w:pPr>
        <w:pStyle w:val="Listeafsnit"/>
        <w:numPr>
          <w:ilvl w:val="0"/>
          <w:numId w:val="1"/>
        </w:numPr>
        <w:spacing w:line="276" w:lineRule="auto"/>
        <w:ind w:firstLine="65"/>
        <w:rPr>
          <w:rFonts w:asciiTheme="minorHAnsi" w:hAnsiTheme="minorHAnsi" w:cs="Aparajita"/>
        </w:rPr>
      </w:pPr>
      <w:r w:rsidRPr="00BE050E">
        <w:rPr>
          <w:rFonts w:asciiTheme="minorHAnsi" w:hAnsiTheme="minorHAnsi" w:cs="Aparajita"/>
          <w:i/>
        </w:rPr>
        <w:t>Sammenligninger</w:t>
      </w:r>
    </w:p>
    <w:p w14:paraId="13F12C90" w14:textId="14C60112" w:rsidR="00E53BF4" w:rsidRPr="00BE050E" w:rsidRDefault="00B52AF4" w:rsidP="00CD4C44">
      <w:pPr>
        <w:pStyle w:val="Listeafsnit"/>
        <w:numPr>
          <w:ilvl w:val="0"/>
          <w:numId w:val="1"/>
        </w:numPr>
        <w:spacing w:line="276" w:lineRule="auto"/>
        <w:ind w:firstLine="65"/>
        <w:rPr>
          <w:rFonts w:asciiTheme="minorHAnsi" w:hAnsiTheme="minorHAnsi" w:cs="Aparajita"/>
        </w:rPr>
      </w:pPr>
      <w:r w:rsidRPr="00BE050E">
        <w:rPr>
          <w:rFonts w:asciiTheme="minorHAnsi" w:hAnsiTheme="minorHAnsi" w:cs="Aparajita"/>
          <w:i/>
        </w:rPr>
        <w:t>Beslægtede</w:t>
      </w:r>
      <w:r w:rsidR="00E53BF4" w:rsidRPr="00BE050E">
        <w:rPr>
          <w:rFonts w:asciiTheme="minorHAnsi" w:hAnsiTheme="minorHAnsi" w:cs="Aparajita"/>
          <w:i/>
        </w:rPr>
        <w:t xml:space="preserve"> </w:t>
      </w:r>
      <w:r w:rsidR="008C5AFF" w:rsidRPr="00BE050E">
        <w:rPr>
          <w:rFonts w:asciiTheme="minorHAnsi" w:hAnsiTheme="minorHAnsi" w:cs="Aparajita"/>
          <w:i/>
        </w:rPr>
        <w:t>be</w:t>
      </w:r>
      <w:r w:rsidR="00E53BF4" w:rsidRPr="00BE050E">
        <w:rPr>
          <w:rFonts w:asciiTheme="minorHAnsi" w:hAnsiTheme="minorHAnsi" w:cs="Aparajita"/>
          <w:i/>
        </w:rPr>
        <w:t>slutninger</w:t>
      </w:r>
    </w:p>
    <w:p w14:paraId="2647492F" w14:textId="0B23DA05" w:rsidR="00E53BF4" w:rsidRPr="00BE050E" w:rsidRDefault="00E53BF4" w:rsidP="00CD4C44">
      <w:pPr>
        <w:pStyle w:val="Listeafsnit"/>
        <w:numPr>
          <w:ilvl w:val="0"/>
          <w:numId w:val="1"/>
        </w:numPr>
        <w:spacing w:line="276" w:lineRule="auto"/>
        <w:ind w:firstLine="65"/>
        <w:rPr>
          <w:rFonts w:asciiTheme="minorHAnsi" w:hAnsiTheme="minorHAnsi" w:cs="Aparajita"/>
        </w:rPr>
      </w:pPr>
      <w:r w:rsidRPr="00BE050E">
        <w:rPr>
          <w:rFonts w:asciiTheme="minorHAnsi" w:hAnsiTheme="minorHAnsi" w:cs="Aparajita"/>
          <w:i/>
        </w:rPr>
        <w:t>Handlemuligheder</w:t>
      </w:r>
    </w:p>
    <w:p w14:paraId="17CF64BF" w14:textId="77777777" w:rsidR="00E53BF4" w:rsidRPr="00BE050E" w:rsidRDefault="00E53BF4" w:rsidP="006859A9">
      <w:pPr>
        <w:spacing w:line="276" w:lineRule="auto"/>
        <w:ind w:firstLine="426"/>
        <w:rPr>
          <w:rFonts w:asciiTheme="minorHAnsi" w:hAnsiTheme="minorHAnsi" w:cs="Aparajita"/>
        </w:rPr>
      </w:pPr>
    </w:p>
    <w:p w14:paraId="0A58B09B" w14:textId="32DEC286" w:rsidR="00E53BF4" w:rsidRPr="00BE050E" w:rsidRDefault="00E53BF4" w:rsidP="006859A9">
      <w:pPr>
        <w:spacing w:line="276" w:lineRule="auto"/>
        <w:rPr>
          <w:rFonts w:asciiTheme="minorHAnsi" w:hAnsiTheme="minorHAnsi" w:cs="Aparajita"/>
        </w:rPr>
      </w:pPr>
      <w:r w:rsidRPr="00BE050E">
        <w:rPr>
          <w:rFonts w:asciiTheme="minorHAnsi" w:hAnsiTheme="minorHAnsi" w:cs="Aparajita"/>
        </w:rPr>
        <w:t xml:space="preserve">Indledningsvis laver jeg en </w:t>
      </w:r>
      <w:r w:rsidRPr="00BE050E">
        <w:rPr>
          <w:rFonts w:asciiTheme="minorHAnsi" w:hAnsiTheme="minorHAnsi" w:cs="Aparajita"/>
          <w:i/>
        </w:rPr>
        <w:t>case-fremstilling</w:t>
      </w:r>
      <w:r w:rsidRPr="00BE050E">
        <w:rPr>
          <w:rFonts w:asciiTheme="minorHAnsi" w:hAnsiTheme="minorHAnsi" w:cs="Aparajita"/>
        </w:rPr>
        <w:t xml:space="preserve">, der fx fortæller mig, hvem der er de implicerede parter, hvad der sker, hvornår, hvor og eventuelt hvorfor. Alt det gør jeg så beskrivende og nøgternt som muligt. Så forholder jeg mig til nogle paradigmatiske cases, som jeg bagefter sammenligner med den konkrete case, jeg står i. Det kan være aktuelle, empiriske cases lige så vel som nogen, jeg konstruerer teoretisk. I denne </w:t>
      </w:r>
      <w:r w:rsidR="009A513A" w:rsidRPr="00BE050E">
        <w:rPr>
          <w:rFonts w:asciiTheme="minorHAnsi" w:hAnsiTheme="minorHAnsi" w:cs="Aparajita"/>
        </w:rPr>
        <w:t>sammenligning</w:t>
      </w:r>
      <w:r w:rsidRPr="00BE050E">
        <w:rPr>
          <w:rFonts w:asciiTheme="minorHAnsi" w:hAnsiTheme="minorHAnsi" w:cs="Aparajita"/>
        </w:rPr>
        <w:t xml:space="preserve"> skabes</w:t>
      </w:r>
      <w:r w:rsidR="00B52AF4" w:rsidRPr="00BE050E">
        <w:rPr>
          <w:rFonts w:asciiTheme="minorHAnsi" w:hAnsiTheme="minorHAnsi" w:cs="Aparajita"/>
        </w:rPr>
        <w:t xml:space="preserve"> </w:t>
      </w:r>
      <w:r w:rsidR="009A513A" w:rsidRPr="00BE050E">
        <w:rPr>
          <w:rFonts w:asciiTheme="minorHAnsi" w:hAnsiTheme="minorHAnsi" w:cs="Aparajita"/>
        </w:rPr>
        <w:t xml:space="preserve">betingelserne </w:t>
      </w:r>
      <w:r w:rsidR="00B52AF4" w:rsidRPr="00BE050E">
        <w:rPr>
          <w:rFonts w:asciiTheme="minorHAnsi" w:hAnsiTheme="minorHAnsi" w:cs="Aparajita"/>
        </w:rPr>
        <w:t>for</w:t>
      </w:r>
      <w:r w:rsidRPr="00BE050E">
        <w:rPr>
          <w:rFonts w:asciiTheme="minorHAnsi" w:hAnsiTheme="minorHAnsi" w:cs="Aparajita"/>
        </w:rPr>
        <w:t xml:space="preserve"> </w:t>
      </w:r>
      <w:r w:rsidR="00B52AF4" w:rsidRPr="00BE050E">
        <w:rPr>
          <w:rFonts w:asciiTheme="minorHAnsi" w:hAnsiTheme="minorHAnsi" w:cs="Aparajita"/>
          <w:i/>
        </w:rPr>
        <w:t>beslægtede</w:t>
      </w:r>
      <w:r w:rsidRPr="00BE050E">
        <w:rPr>
          <w:rFonts w:asciiTheme="minorHAnsi" w:hAnsiTheme="minorHAnsi" w:cs="Aparajita"/>
          <w:i/>
        </w:rPr>
        <w:t xml:space="preserve"> </w:t>
      </w:r>
      <w:r w:rsidR="008C5AFF" w:rsidRPr="00BE050E">
        <w:rPr>
          <w:rFonts w:asciiTheme="minorHAnsi" w:hAnsiTheme="minorHAnsi" w:cs="Aparajita"/>
          <w:i/>
        </w:rPr>
        <w:t>be</w:t>
      </w:r>
      <w:r w:rsidRPr="00BE050E">
        <w:rPr>
          <w:rFonts w:asciiTheme="minorHAnsi" w:hAnsiTheme="minorHAnsi" w:cs="Aparajita"/>
          <w:i/>
        </w:rPr>
        <w:t>slutninger</w:t>
      </w:r>
      <w:r w:rsidRPr="00BE050E">
        <w:rPr>
          <w:rFonts w:asciiTheme="minorHAnsi" w:hAnsiTheme="minorHAnsi" w:cs="Aparajita"/>
        </w:rPr>
        <w:t xml:space="preserve">, </w:t>
      </w:r>
      <w:r w:rsidR="00B52AF4" w:rsidRPr="00BE050E">
        <w:rPr>
          <w:rFonts w:asciiTheme="minorHAnsi" w:hAnsiTheme="minorHAnsi" w:cs="Aparajita"/>
        </w:rPr>
        <w:t xml:space="preserve">fordi jeg </w:t>
      </w:r>
      <w:r w:rsidR="009A513A" w:rsidRPr="00BE050E">
        <w:rPr>
          <w:rFonts w:asciiTheme="minorHAnsi" w:hAnsiTheme="minorHAnsi" w:cs="Aparajita"/>
        </w:rPr>
        <w:t xml:space="preserve">her </w:t>
      </w:r>
      <w:r w:rsidR="00B52AF4" w:rsidRPr="00BE050E">
        <w:rPr>
          <w:rFonts w:asciiTheme="minorHAnsi" w:hAnsiTheme="minorHAnsi" w:cs="Aparajita"/>
        </w:rPr>
        <w:t>kan analysere</w:t>
      </w:r>
      <w:r w:rsidRPr="00BE050E">
        <w:rPr>
          <w:rFonts w:asciiTheme="minorHAnsi" w:hAnsiTheme="minorHAnsi" w:cs="Aparajita"/>
        </w:rPr>
        <w:t xml:space="preserve"> forskelle og ligheder mellem det, jeg aktuelt står i, og de cases, jeg sammenligner med. På den baggrund når jeg afslutningsvis frem til de </w:t>
      </w:r>
      <w:r w:rsidRPr="00BE050E">
        <w:rPr>
          <w:rFonts w:asciiTheme="minorHAnsi" w:hAnsiTheme="minorHAnsi" w:cs="Aparajita"/>
          <w:i/>
        </w:rPr>
        <w:t>handlemuligheder</w:t>
      </w:r>
      <w:r w:rsidRPr="00BE050E">
        <w:rPr>
          <w:rFonts w:asciiTheme="minorHAnsi" w:hAnsiTheme="minorHAnsi" w:cs="Aparajita"/>
        </w:rPr>
        <w:t>, der fremstår som de bedste ud fra den samlede analyse, jeg har udarbejdet.</w:t>
      </w:r>
    </w:p>
    <w:p w14:paraId="74923FC3" w14:textId="77777777" w:rsidR="00827B2D" w:rsidRDefault="006517F6" w:rsidP="003F4DB8">
      <w:pPr>
        <w:spacing w:line="276" w:lineRule="auto"/>
        <w:ind w:firstLine="426"/>
        <w:rPr>
          <w:rFonts w:asciiTheme="minorHAnsi" w:hAnsiTheme="minorHAnsi" w:cs="Aparajita"/>
        </w:rPr>
      </w:pPr>
      <w:r w:rsidRPr="00BE050E">
        <w:rPr>
          <w:rFonts w:asciiTheme="minorHAnsi" w:hAnsiTheme="minorHAnsi" w:cs="Aparajita"/>
        </w:rPr>
        <w:t xml:space="preserve">Som eksempel kan </w:t>
      </w:r>
      <w:r w:rsidR="00B5379C" w:rsidRPr="00BE050E">
        <w:rPr>
          <w:rFonts w:asciiTheme="minorHAnsi" w:hAnsiTheme="minorHAnsi" w:cs="Aparajita"/>
        </w:rPr>
        <w:t>nævnes, at to væsentlige forskningsetiske begreber er ’informeret samtykke’ og ’troværdighed’</w:t>
      </w:r>
      <w:r w:rsidR="003F4DB8" w:rsidRPr="00BE050E">
        <w:rPr>
          <w:rFonts w:asciiTheme="minorHAnsi" w:hAnsiTheme="minorHAnsi" w:cs="Aparajita"/>
        </w:rPr>
        <w:t xml:space="preserve">. De skal overholdes. </w:t>
      </w:r>
      <w:r w:rsidR="00B5379C" w:rsidRPr="00BE050E">
        <w:rPr>
          <w:rFonts w:asciiTheme="minorHAnsi" w:hAnsiTheme="minorHAnsi" w:cs="Aparajita"/>
        </w:rPr>
        <w:t xml:space="preserve">Men i et </w:t>
      </w:r>
      <w:r w:rsidR="00827B2D">
        <w:rPr>
          <w:rFonts w:asciiTheme="minorHAnsi" w:hAnsiTheme="minorHAnsi" w:cs="Aparajita"/>
        </w:rPr>
        <w:t xml:space="preserve">af mine projekter </w:t>
      </w:r>
      <w:r w:rsidR="00E53BF4" w:rsidRPr="00BE050E">
        <w:rPr>
          <w:rFonts w:asciiTheme="minorHAnsi" w:hAnsiTheme="minorHAnsi" w:cs="Aparajita"/>
        </w:rPr>
        <w:t xml:space="preserve">opstår der på et tidligt tidspunkt et dilemma mellem </w:t>
      </w:r>
      <w:r w:rsidR="003F4DB8" w:rsidRPr="00BE050E">
        <w:rPr>
          <w:rFonts w:asciiTheme="minorHAnsi" w:hAnsiTheme="minorHAnsi" w:cs="Aparajita"/>
        </w:rPr>
        <w:t xml:space="preserve">netop disse to. </w:t>
      </w:r>
      <w:r w:rsidR="00E53BF4" w:rsidRPr="00BE050E">
        <w:rPr>
          <w:rFonts w:asciiTheme="minorHAnsi" w:hAnsiTheme="minorHAnsi" w:cs="Aparajita"/>
        </w:rPr>
        <w:t>Da jeg lige har indledt projekt</w:t>
      </w:r>
      <w:r w:rsidR="003F4DB8" w:rsidRPr="00BE050E">
        <w:rPr>
          <w:rFonts w:asciiTheme="minorHAnsi" w:hAnsiTheme="minorHAnsi" w:cs="Aparajita"/>
        </w:rPr>
        <w:t>et</w:t>
      </w:r>
      <w:r w:rsidR="00E53BF4" w:rsidRPr="00BE050E">
        <w:rPr>
          <w:rFonts w:asciiTheme="minorHAnsi" w:hAnsiTheme="minorHAnsi" w:cs="Aparajita"/>
        </w:rPr>
        <w:t xml:space="preserve">, snakker jeg med en af de involverede lærere og fortæller hende </w:t>
      </w:r>
      <w:r w:rsidR="00827B2D">
        <w:rPr>
          <w:rFonts w:asciiTheme="minorHAnsi" w:hAnsiTheme="minorHAnsi" w:cs="Aparajita"/>
        </w:rPr>
        <w:t xml:space="preserve">som tidligere beskrevet </w:t>
      </w:r>
      <w:r w:rsidR="00E53BF4" w:rsidRPr="00BE050E">
        <w:rPr>
          <w:rFonts w:asciiTheme="minorHAnsi" w:hAnsiTheme="minorHAnsi" w:cs="Aparajita"/>
        </w:rPr>
        <w:t xml:space="preserve">i detaljer om projektets tese om, at der i folkeskolen er en tendens til at kompleksitetsreducere og </w:t>
      </w:r>
      <w:proofErr w:type="spellStart"/>
      <w:r w:rsidR="00E53BF4" w:rsidRPr="00BE050E">
        <w:rPr>
          <w:rFonts w:asciiTheme="minorHAnsi" w:hAnsiTheme="minorHAnsi" w:cs="Aparajita"/>
        </w:rPr>
        <w:t>facilitere</w:t>
      </w:r>
      <w:proofErr w:type="spellEnd"/>
      <w:r w:rsidR="00E53BF4" w:rsidRPr="00BE050E">
        <w:rPr>
          <w:rFonts w:asciiTheme="minorHAnsi" w:hAnsiTheme="minorHAnsi" w:cs="Aparajita"/>
        </w:rPr>
        <w:t xml:space="preserve">, og at der måske kan være et potentiale i at skabe rammer for, at vanskeligheder kan udnyttes i undervisningen. I timerne derefter er der ingen grænser for, hvor mange vanskeligheder hun indlægger for sine elever. Hun vil ikke svare dem, når de spørger om noget, hun gentager adskillige gange ”du må selv finde ud af det” eller ”det ved jeg ikke” og underviser i det hele taget på en måde, som jeg ikke kan genkende fra hendes tidligere timer. </w:t>
      </w:r>
    </w:p>
    <w:p w14:paraId="38457F2E" w14:textId="29A5081D" w:rsidR="00E53BF4" w:rsidRPr="00BE050E" w:rsidRDefault="00E53BF4" w:rsidP="003F4DB8">
      <w:pPr>
        <w:spacing w:line="276" w:lineRule="auto"/>
        <w:ind w:firstLine="426"/>
        <w:rPr>
          <w:rFonts w:asciiTheme="minorHAnsi" w:hAnsiTheme="minorHAnsi" w:cs="Aparajita"/>
        </w:rPr>
      </w:pPr>
      <w:r w:rsidRPr="00BE050E">
        <w:rPr>
          <w:rFonts w:asciiTheme="minorHAnsi" w:hAnsiTheme="minorHAnsi" w:cs="Aparajita"/>
        </w:rPr>
        <w:t xml:space="preserve">Her er spørgsmålet: Handler deltagere på samme måde, hvis de i detaljer kender til forskningsprojektets tematikker? Kan det ikke påvirke deres måde at agere på, og hvor efterlader det i så fald projektets udsigelseskraft og mulighed for at drage transparente konklusioner? Så vidt jeg kunne se, gik det ud over projektets troværdighed, at hun kendte til detaljer i projektets forskningsspørgsmål og undersøgelsesdesign. Men hvordan kunne jeg løse det? Hvor meget skulle jeg fortælle? Hvor lidt? Kunne jeg undlade at fortælle om det </w:t>
      </w:r>
      <w:r w:rsidR="003B57E3" w:rsidRPr="00BE050E">
        <w:rPr>
          <w:rFonts w:asciiTheme="minorHAnsi" w:hAnsiTheme="minorHAnsi" w:cs="Aparajita"/>
        </w:rPr>
        <w:t>i det hele taget</w:t>
      </w:r>
      <w:r w:rsidRPr="00BE050E">
        <w:rPr>
          <w:rFonts w:asciiTheme="minorHAnsi" w:hAnsiTheme="minorHAnsi" w:cs="Aparajita"/>
        </w:rPr>
        <w:t xml:space="preserve">? </w:t>
      </w:r>
    </w:p>
    <w:p w14:paraId="0852D8C7" w14:textId="77CBBB3B" w:rsidR="00671DD5" w:rsidRPr="00BE050E" w:rsidRDefault="00E53BF4" w:rsidP="0071227F">
      <w:pPr>
        <w:spacing w:line="276" w:lineRule="auto"/>
        <w:ind w:firstLine="426"/>
        <w:rPr>
          <w:rFonts w:asciiTheme="minorHAnsi" w:hAnsiTheme="minorHAnsi" w:cs="Times"/>
          <w:iCs/>
        </w:rPr>
      </w:pPr>
      <w:r w:rsidRPr="00BE050E">
        <w:rPr>
          <w:rFonts w:asciiTheme="minorHAnsi" w:hAnsiTheme="minorHAnsi" w:cs="Aparajita"/>
        </w:rPr>
        <w:lastRenderedPageBreak/>
        <w:t xml:space="preserve">For at finde et muligt svar på det, bruger jeg den fremgangsmåde, jeg har skitseret ovenfor. Jeg udarbejder en nøgtern case-fremstilling, hvor jeg indleder med at notere, hvem der er de implicerede. Det er først og fremmest den lærer og de elever, jeg observerer. Jeg skriver læreren øverst, fordi det er hende og hendes undervisning, jeg frygter vil blive anderledes, hvis jeg i detaljer informerer om projektets antagelser. Jeg overvejer, om fx kollegaer og forældre er implicerede, men vurderer, at det er de ikke. Jeg noterer den konkrete anledning: at læreren, umiddelbart efter jeg har fortalt om mit projekts antagelser, på påfaldende vis afstår fra at hjælpe eleverne, når de efterspørger det. Mine overvejelser er herefter at undlade at fortælle lærerne detaljeret om mine forskningsspørgsmål – og altså derfor også at gå på kompromis med kravet om at indhente samtykke på informeret grundlag, hvis dette forstås som </w:t>
      </w:r>
      <w:r w:rsidRPr="00BE050E">
        <w:rPr>
          <w:rFonts w:asciiTheme="minorHAnsi" w:hAnsiTheme="minorHAnsi" w:cs="Aparajita"/>
          <w:i/>
        </w:rPr>
        <w:t>fuldt informeret samtykke</w:t>
      </w:r>
      <w:r w:rsidRPr="00BE050E">
        <w:rPr>
          <w:rFonts w:asciiTheme="minorHAnsi" w:hAnsiTheme="minorHAnsi" w:cs="Aparajita"/>
        </w:rPr>
        <w:t xml:space="preserve"> (måske handler det i højere grad om at betragte ’informeret samtykke’ som et kontinuum med flere </w:t>
      </w:r>
      <w:r w:rsidRPr="00BE050E">
        <w:rPr>
          <w:rFonts w:asciiTheme="minorHAnsi" w:hAnsiTheme="minorHAnsi"/>
        </w:rPr>
        <w:t>variationer og forståelser</w:t>
      </w:r>
      <w:r w:rsidRPr="00BE050E">
        <w:rPr>
          <w:rFonts w:asciiTheme="minorHAnsi" w:hAnsiTheme="minorHAnsi" w:cs="Aparajita"/>
        </w:rPr>
        <w:t>). I bestræbelsen på at afklare, om det overhovedet er gangbart, finder og analyserer jeg nogle paradigmatiske cases, som jeg sammenligner min aktuelle problematik med. Det drejer sig fx om artikler fra placebo-forskningen eller nogle af de medicinske undersøgelser, som ikke indebærer sundhedsmæssige risici, og hvor der derfor typisk dispenseres fra kravet,</w:t>
      </w:r>
      <w:r w:rsidR="00341D30">
        <w:rPr>
          <w:rStyle w:val="Fodnotehenvisning"/>
          <w:rFonts w:asciiTheme="minorHAnsi" w:hAnsiTheme="minorHAnsi" w:cs="Aparajita"/>
        </w:rPr>
        <w:footnoteReference w:id="40"/>
      </w:r>
      <w:r w:rsidRPr="00BE050E">
        <w:rPr>
          <w:rFonts w:asciiTheme="minorHAnsi" w:hAnsiTheme="minorHAnsi" w:cs="Aparajita"/>
        </w:rPr>
        <w:t xml:space="preserve"> men også konkrete og mere pædagogiske og samfundsvidenskabelige studier som fx </w:t>
      </w:r>
      <w:proofErr w:type="spellStart"/>
      <w:r w:rsidRPr="00BE050E">
        <w:rPr>
          <w:rFonts w:asciiTheme="minorHAnsi" w:hAnsiTheme="minorHAnsi" w:cs="Aparajita"/>
        </w:rPr>
        <w:t>Rosenthal</w:t>
      </w:r>
      <w:proofErr w:type="spellEnd"/>
      <w:r w:rsidRPr="00BE050E">
        <w:rPr>
          <w:rFonts w:asciiTheme="minorHAnsi" w:hAnsiTheme="minorHAnsi" w:cs="Aparajita"/>
        </w:rPr>
        <w:t xml:space="preserve"> og </w:t>
      </w:r>
      <w:proofErr w:type="spellStart"/>
      <w:r w:rsidRPr="00BE050E">
        <w:rPr>
          <w:rFonts w:asciiTheme="minorHAnsi" w:hAnsiTheme="minorHAnsi" w:cs="Aparajita"/>
        </w:rPr>
        <w:t>Jacobsons</w:t>
      </w:r>
      <w:proofErr w:type="spellEnd"/>
      <w:r w:rsidRPr="00BE050E">
        <w:rPr>
          <w:rFonts w:asciiTheme="minorHAnsi" w:hAnsiTheme="minorHAnsi" w:cs="Aparajita"/>
        </w:rPr>
        <w:t xml:space="preserve"> analyser af </w:t>
      </w:r>
      <w:r w:rsidRPr="00E21C67">
        <w:rPr>
          <w:rFonts w:asciiTheme="minorHAnsi" w:hAnsiTheme="minorHAnsi" w:cs="Times"/>
        </w:rPr>
        <w:t xml:space="preserve">interpersonelle selvopfyldelsesprofetier i </w:t>
      </w:r>
      <w:proofErr w:type="spellStart"/>
      <w:r w:rsidRPr="00BE050E">
        <w:rPr>
          <w:rFonts w:asciiTheme="minorHAnsi" w:hAnsiTheme="minorHAnsi" w:cs="Times"/>
          <w:i/>
          <w:iCs/>
        </w:rPr>
        <w:t>Pygmalion</w:t>
      </w:r>
      <w:proofErr w:type="spellEnd"/>
      <w:r w:rsidRPr="00BE050E">
        <w:rPr>
          <w:rFonts w:asciiTheme="minorHAnsi" w:hAnsiTheme="minorHAnsi" w:cs="Times"/>
          <w:i/>
          <w:iCs/>
        </w:rPr>
        <w:t xml:space="preserve"> in the </w:t>
      </w:r>
      <w:proofErr w:type="spellStart"/>
      <w:r w:rsidRPr="00BE050E">
        <w:rPr>
          <w:rFonts w:asciiTheme="minorHAnsi" w:hAnsiTheme="minorHAnsi" w:cs="Times"/>
          <w:i/>
          <w:iCs/>
        </w:rPr>
        <w:t>Classroom</w:t>
      </w:r>
      <w:proofErr w:type="spellEnd"/>
      <w:r w:rsidR="00341D30">
        <w:rPr>
          <w:rFonts w:asciiTheme="minorHAnsi" w:hAnsiTheme="minorHAnsi" w:cs="Times"/>
          <w:iCs/>
        </w:rPr>
        <w:t>,</w:t>
      </w:r>
      <w:r w:rsidR="00341D30">
        <w:rPr>
          <w:rStyle w:val="Fodnotehenvisning"/>
          <w:rFonts w:asciiTheme="minorHAnsi" w:hAnsiTheme="minorHAnsi" w:cs="Times"/>
          <w:iCs/>
        </w:rPr>
        <w:footnoteReference w:id="41"/>
      </w:r>
      <w:r w:rsidRPr="00BE050E">
        <w:rPr>
          <w:rFonts w:asciiTheme="minorHAnsi" w:hAnsiTheme="minorHAnsi" w:cs="Times"/>
          <w:i/>
          <w:iCs/>
        </w:rPr>
        <w:t xml:space="preserve"> </w:t>
      </w:r>
      <w:r w:rsidRPr="00BE050E">
        <w:rPr>
          <w:rFonts w:asciiTheme="minorHAnsi" w:hAnsiTheme="minorHAnsi" w:cs="Times"/>
        </w:rPr>
        <w:t xml:space="preserve">Glennys </w:t>
      </w:r>
      <w:proofErr w:type="spellStart"/>
      <w:r w:rsidRPr="00BE050E">
        <w:rPr>
          <w:rFonts w:asciiTheme="minorHAnsi" w:hAnsiTheme="minorHAnsi" w:cs="Times"/>
        </w:rPr>
        <w:t>Howarths</w:t>
      </w:r>
      <w:proofErr w:type="spellEnd"/>
      <w:r w:rsidRPr="00BE050E">
        <w:rPr>
          <w:rFonts w:asciiTheme="minorHAnsi" w:hAnsiTheme="minorHAnsi" w:cs="Times"/>
        </w:rPr>
        <w:t xml:space="preserve"> undersøgelser af bedemænd og begravelsesritualer,</w:t>
      </w:r>
      <w:r w:rsidR="00341D30">
        <w:rPr>
          <w:rStyle w:val="Fodnotehenvisning"/>
          <w:rFonts w:asciiTheme="minorHAnsi" w:hAnsiTheme="minorHAnsi" w:cs="Times"/>
        </w:rPr>
        <w:footnoteReference w:id="42"/>
      </w:r>
      <w:r w:rsidRPr="00BE050E">
        <w:rPr>
          <w:rFonts w:asciiTheme="minorHAnsi" w:hAnsiTheme="minorHAnsi" w:cs="Times"/>
        </w:rPr>
        <w:t xml:space="preserve"> Shirley Brice Heaths analyser af ”</w:t>
      </w:r>
      <w:proofErr w:type="spellStart"/>
      <w:r w:rsidRPr="00BE050E">
        <w:rPr>
          <w:rFonts w:asciiTheme="minorHAnsi" w:hAnsiTheme="minorHAnsi" w:cs="Times"/>
        </w:rPr>
        <w:t>enforced</w:t>
      </w:r>
      <w:proofErr w:type="spellEnd"/>
      <w:r w:rsidRPr="00BE050E">
        <w:rPr>
          <w:rFonts w:asciiTheme="minorHAnsi" w:hAnsiTheme="minorHAnsi" w:cs="Times"/>
        </w:rPr>
        <w:t xml:space="preserve"> transition zones”</w:t>
      </w:r>
      <w:r w:rsidR="00341D30">
        <w:rPr>
          <w:rStyle w:val="Fodnotehenvisning"/>
          <w:rFonts w:asciiTheme="minorHAnsi" w:hAnsiTheme="minorHAnsi" w:cs="Times"/>
        </w:rPr>
        <w:footnoteReference w:id="43"/>
      </w:r>
      <w:r w:rsidRPr="00BE050E">
        <w:rPr>
          <w:rFonts w:asciiTheme="minorHAnsi" w:hAnsiTheme="minorHAnsi" w:cs="Times"/>
        </w:rPr>
        <w:t xml:space="preserve"> </w:t>
      </w:r>
      <w:r w:rsidR="003F4DB8" w:rsidRPr="00BE050E">
        <w:rPr>
          <w:rFonts w:asciiTheme="minorHAnsi" w:hAnsiTheme="minorHAnsi" w:cs="Times"/>
        </w:rPr>
        <w:t xml:space="preserve">og Katrine Fangens studier i </w:t>
      </w:r>
      <w:r w:rsidR="003F4DB8" w:rsidRPr="00BE050E">
        <w:rPr>
          <w:rFonts w:asciiTheme="minorHAnsi" w:hAnsiTheme="minorHAnsi" w:cs="Aparajita"/>
        </w:rPr>
        <w:t>et norsk højreekstremistisk miljø</w:t>
      </w:r>
      <w:r w:rsidR="003F4DB8" w:rsidRPr="00BE050E">
        <w:rPr>
          <w:rFonts w:asciiTheme="minorHAnsi" w:hAnsiTheme="minorHAnsi" w:cs="Times"/>
        </w:rPr>
        <w:t>,</w:t>
      </w:r>
      <w:r w:rsidR="00341D30">
        <w:rPr>
          <w:rStyle w:val="Fodnotehenvisning"/>
          <w:rFonts w:asciiTheme="minorHAnsi" w:hAnsiTheme="minorHAnsi" w:cs="Times"/>
        </w:rPr>
        <w:footnoteReference w:id="44"/>
      </w:r>
      <w:r w:rsidR="003F4DB8" w:rsidRPr="00BE050E">
        <w:rPr>
          <w:rFonts w:asciiTheme="minorHAnsi" w:hAnsiTheme="minorHAnsi" w:cs="Times"/>
        </w:rPr>
        <w:t xml:space="preserve"> som jeg nævnte i denne artikels indledning</w:t>
      </w:r>
      <w:r w:rsidRPr="00BE050E">
        <w:rPr>
          <w:rFonts w:asciiTheme="minorHAnsi" w:hAnsiTheme="minorHAnsi" w:cs="Times"/>
        </w:rPr>
        <w:t xml:space="preserve">. Jeg sammenligner de forskellige projekter og mit eget projekt. Jeg undlader ikke at inddrage projekter, hvor det ikke at oplyse detaljeret har været ekstra problematisk som fx i </w:t>
      </w:r>
      <w:proofErr w:type="spellStart"/>
      <w:r w:rsidRPr="00BE050E">
        <w:rPr>
          <w:rFonts w:asciiTheme="minorHAnsi" w:hAnsiTheme="minorHAnsi" w:cs="Times"/>
        </w:rPr>
        <w:t>Milgram</w:t>
      </w:r>
      <w:proofErr w:type="spellEnd"/>
      <w:r w:rsidRPr="00BE050E">
        <w:rPr>
          <w:rFonts w:asciiTheme="minorHAnsi" w:hAnsiTheme="minorHAnsi" w:cs="Times"/>
        </w:rPr>
        <w:t xml:space="preserve">-eksperimentet, Philip </w:t>
      </w:r>
      <w:proofErr w:type="spellStart"/>
      <w:r w:rsidRPr="00BE050E">
        <w:rPr>
          <w:rFonts w:asciiTheme="minorHAnsi" w:hAnsiTheme="minorHAnsi" w:cs="Times"/>
        </w:rPr>
        <w:t>Zimbardos</w:t>
      </w:r>
      <w:proofErr w:type="spellEnd"/>
      <w:r w:rsidRPr="00BE050E">
        <w:rPr>
          <w:rFonts w:asciiTheme="minorHAnsi" w:hAnsiTheme="minorHAnsi" w:cs="Times"/>
        </w:rPr>
        <w:t xml:space="preserve"> fængselsforsøg og de tidligere omtalte DES- og </w:t>
      </w:r>
      <w:proofErr w:type="spellStart"/>
      <w:r w:rsidRPr="00BE050E">
        <w:rPr>
          <w:rFonts w:asciiTheme="minorHAnsi" w:hAnsiTheme="minorHAnsi" w:cs="Times"/>
        </w:rPr>
        <w:t>Tuskegee</w:t>
      </w:r>
      <w:proofErr w:type="spellEnd"/>
      <w:r w:rsidRPr="00BE050E">
        <w:rPr>
          <w:rFonts w:asciiTheme="minorHAnsi" w:hAnsiTheme="minorHAnsi" w:cs="Times"/>
        </w:rPr>
        <w:t xml:space="preserve">-forsøg. I analysen af sammenligningerne forsøger jeg at skabe </w:t>
      </w:r>
      <w:r w:rsidR="003F4DB8" w:rsidRPr="00BE050E">
        <w:rPr>
          <w:rFonts w:asciiTheme="minorHAnsi" w:hAnsiTheme="minorHAnsi" w:cs="Times"/>
        </w:rPr>
        <w:t>beslægtede</w:t>
      </w:r>
      <w:r w:rsidRPr="00BE050E">
        <w:rPr>
          <w:rFonts w:asciiTheme="minorHAnsi" w:hAnsiTheme="minorHAnsi" w:cs="Times"/>
        </w:rPr>
        <w:t xml:space="preserve"> slutninger for på den baggrund at tilbyde en handlemulighed, som ud fra den </w:t>
      </w:r>
      <w:r w:rsidR="00153ABC" w:rsidRPr="00BE050E">
        <w:rPr>
          <w:rFonts w:asciiTheme="minorHAnsi" w:hAnsiTheme="minorHAnsi" w:cs="Times"/>
        </w:rPr>
        <w:t>samlede analyse fremstår som den</w:t>
      </w:r>
      <w:r w:rsidRPr="00BE050E">
        <w:rPr>
          <w:rFonts w:asciiTheme="minorHAnsi" w:hAnsiTheme="minorHAnsi" w:cs="Times"/>
        </w:rPr>
        <w:t xml:space="preserve"> bedst tænkelige. Forskellen mellem den første række af </w:t>
      </w:r>
      <w:r w:rsidR="00BB4C2B">
        <w:rPr>
          <w:rFonts w:asciiTheme="minorHAnsi" w:hAnsiTheme="minorHAnsi" w:cs="Times"/>
        </w:rPr>
        <w:t xml:space="preserve">de </w:t>
      </w:r>
      <w:r w:rsidRPr="00BE050E">
        <w:rPr>
          <w:rFonts w:asciiTheme="minorHAnsi" w:hAnsiTheme="minorHAnsi" w:cs="Times"/>
        </w:rPr>
        <w:t xml:space="preserve">nævnte forsøg og den anden er, at der ikke er personer i de første forsøg, som lider fysisk eller psykisk overlast. Det at undlade at informere om projektet i detaljer gør således ikke graden af videnskabelig omhu mindre, ligesom det ikke udleverer eller gør skade på nogen </w:t>
      </w:r>
      <w:r w:rsidRPr="00BE050E">
        <w:rPr>
          <w:rFonts w:asciiTheme="minorHAnsi" w:hAnsiTheme="minorHAnsi" w:cstheme="minorHAnsi"/>
        </w:rPr>
        <w:t>(</w:t>
      </w:r>
      <w:proofErr w:type="spellStart"/>
      <w:r w:rsidRPr="00BE050E">
        <w:rPr>
          <w:rFonts w:asciiTheme="minorHAnsi" w:hAnsiTheme="minorHAnsi" w:cs="Aparajita"/>
          <w:i/>
        </w:rPr>
        <w:t>nonmaleficence</w:t>
      </w:r>
      <w:proofErr w:type="spellEnd"/>
      <w:r w:rsidRPr="00BE050E">
        <w:rPr>
          <w:rFonts w:asciiTheme="minorHAnsi" w:hAnsiTheme="minorHAnsi" w:cstheme="minorHAnsi"/>
        </w:rPr>
        <w:t>)</w:t>
      </w:r>
      <w:r w:rsidRPr="00BE050E">
        <w:rPr>
          <w:rFonts w:asciiTheme="minorHAnsi" w:hAnsiTheme="minorHAnsi" w:cs="Times"/>
        </w:rPr>
        <w:t xml:space="preserve">. Man kan diskutere forskningsetiske begreber som ærlighed og måske ansvarlighed, men på baggrund af </w:t>
      </w:r>
      <w:r w:rsidR="00153ABC" w:rsidRPr="00BE050E">
        <w:rPr>
          <w:rFonts w:asciiTheme="minorHAnsi" w:hAnsiTheme="minorHAnsi" w:cs="Times"/>
        </w:rPr>
        <w:t>sammenligningerne</w:t>
      </w:r>
      <w:r w:rsidRPr="00BE050E">
        <w:rPr>
          <w:rFonts w:asciiTheme="minorHAnsi" w:hAnsiTheme="minorHAnsi" w:cs="Times"/>
        </w:rPr>
        <w:t xml:space="preserve"> med andre projekter, hvor der er undladt at give detaljeret informeret samtykke – som fx kunne være, at ”den viden der blev frembragt ville have været umulig at </w:t>
      </w:r>
      <w:r w:rsidRPr="00BE050E">
        <w:rPr>
          <w:rFonts w:asciiTheme="minorHAnsi" w:hAnsiTheme="minorHAnsi" w:cs="Times"/>
        </w:rPr>
        <w:lastRenderedPageBreak/>
        <w:t>fremdrage ved hjælp af en total professionel hæderlighed”</w:t>
      </w:r>
      <w:r w:rsidR="00341D30">
        <w:rPr>
          <w:rStyle w:val="Fodnotehenvisning"/>
          <w:rFonts w:asciiTheme="minorHAnsi" w:hAnsiTheme="minorHAnsi" w:cs="Times"/>
        </w:rPr>
        <w:footnoteReference w:id="45"/>
      </w:r>
      <w:r w:rsidRPr="00BE050E">
        <w:rPr>
          <w:rFonts w:asciiTheme="minorHAnsi" w:hAnsiTheme="minorHAnsi" w:cs="Times"/>
        </w:rPr>
        <w:t xml:space="preserve"> – når jeg frem til en begrundelse og et rationale for at undlade. Jeg har ikke, som de førstnævnte projekter heller ikke har, forsøgt at camouflere min identitet som forsker, og jeg kommer ikke til at gøre fysisk eller psykisk skade på nogen. Jeg betragter det også som vigtigt, at jeg </w:t>
      </w:r>
      <w:r w:rsidRPr="00BE050E">
        <w:rPr>
          <w:rFonts w:asciiTheme="minorHAnsi" w:hAnsiTheme="minorHAnsi" w:cs="Times"/>
          <w:i/>
        </w:rPr>
        <w:t>har</w:t>
      </w:r>
      <w:r w:rsidRPr="00BE050E">
        <w:rPr>
          <w:rFonts w:asciiTheme="minorHAnsi" w:hAnsiTheme="minorHAnsi" w:cs="Times"/>
        </w:rPr>
        <w:t xml:space="preserve"> indhentet informeret samtykke, men at jeg </w:t>
      </w:r>
      <w:proofErr w:type="gramStart"/>
      <w:r w:rsidRPr="00BE050E">
        <w:rPr>
          <w:rFonts w:asciiTheme="minorHAnsi" w:hAnsiTheme="minorHAnsi" w:cs="Times"/>
        </w:rPr>
        <w:t>blot ikke</w:t>
      </w:r>
      <w:proofErr w:type="gramEnd"/>
      <w:r w:rsidRPr="00BE050E">
        <w:rPr>
          <w:rFonts w:asciiTheme="minorHAnsi" w:hAnsiTheme="minorHAnsi" w:cs="Times"/>
        </w:rPr>
        <w:t xml:space="preserve"> med god samvittighed kan sige, at det har været på et detaljeret grundlag. På den baggrund ender jeg med at informere om, at mit projekt handler om ”nye undervisnings- og læringsformer”, hvilk</w:t>
      </w:r>
      <w:r w:rsidR="00DB191B" w:rsidRPr="00BE050E">
        <w:rPr>
          <w:rFonts w:asciiTheme="minorHAnsi" w:hAnsiTheme="minorHAnsi" w:cs="Times"/>
        </w:rPr>
        <w:t xml:space="preserve">et er et af satsningsområderne </w:t>
      </w:r>
      <w:r w:rsidR="00DD2229" w:rsidRPr="00BE050E">
        <w:rPr>
          <w:rFonts w:asciiTheme="minorHAnsi" w:hAnsiTheme="minorHAnsi" w:cs="Times"/>
        </w:rPr>
        <w:t>i den afdeling</w:t>
      </w:r>
      <w:r w:rsidRPr="00BE050E">
        <w:rPr>
          <w:rFonts w:asciiTheme="minorHAnsi" w:hAnsiTheme="minorHAnsi" w:cs="Times"/>
        </w:rPr>
        <w:t xml:space="preserve">, hvor jeg er ansat, og i mine noter kalder jeg det efterfølgende </w:t>
      </w:r>
      <w:r w:rsidRPr="00BE050E">
        <w:rPr>
          <w:rFonts w:asciiTheme="minorHAnsi" w:hAnsiTheme="minorHAnsi" w:cs="Times"/>
          <w:i/>
          <w:iCs/>
        </w:rPr>
        <w:t>acceptabelt informeret samtykke</w:t>
      </w:r>
      <w:r w:rsidRPr="00BE050E">
        <w:rPr>
          <w:rFonts w:asciiTheme="minorHAnsi" w:hAnsiTheme="minorHAnsi" w:cs="Times"/>
          <w:iCs/>
        </w:rPr>
        <w:t>.</w:t>
      </w:r>
    </w:p>
    <w:p w14:paraId="13E39BEE" w14:textId="3B3512DC" w:rsidR="00ED14A7" w:rsidRPr="00BE050E" w:rsidRDefault="008C5AFF" w:rsidP="008C5AFF">
      <w:pPr>
        <w:spacing w:line="276" w:lineRule="auto"/>
        <w:ind w:firstLine="426"/>
        <w:rPr>
          <w:rFonts w:asciiTheme="minorHAnsi" w:hAnsiTheme="minorHAnsi" w:cs="Aparajita"/>
        </w:rPr>
      </w:pPr>
      <w:r w:rsidRPr="00BE050E">
        <w:rPr>
          <w:rFonts w:asciiTheme="minorHAnsi" w:hAnsiTheme="minorHAnsi" w:cs="Times"/>
          <w:iCs/>
        </w:rPr>
        <w:t>På den måde</w:t>
      </w:r>
      <w:r w:rsidR="00AB203A" w:rsidRPr="00BE050E">
        <w:rPr>
          <w:rFonts w:asciiTheme="minorHAnsi" w:hAnsiTheme="minorHAnsi" w:cs="Times"/>
          <w:iCs/>
        </w:rPr>
        <w:t xml:space="preserve"> </w:t>
      </w:r>
      <w:r w:rsidRPr="00BE050E">
        <w:rPr>
          <w:rFonts w:asciiTheme="minorHAnsi" w:hAnsiTheme="minorHAnsi" w:cs="Times"/>
          <w:iCs/>
        </w:rPr>
        <w:t>har jeg arbejdet mig gennem c</w:t>
      </w:r>
      <w:r w:rsidRPr="00BE050E">
        <w:rPr>
          <w:rFonts w:asciiTheme="minorHAnsi" w:hAnsiTheme="minorHAnsi" w:cs="Aparajita"/>
        </w:rPr>
        <w:t xml:space="preserve">ase-fremstilling, </w:t>
      </w:r>
      <w:r w:rsidRPr="00BE050E">
        <w:rPr>
          <w:rFonts w:asciiTheme="minorHAnsi" w:hAnsiTheme="minorHAnsi" w:cs="Times"/>
          <w:iCs/>
        </w:rPr>
        <w:t>s</w:t>
      </w:r>
      <w:r w:rsidRPr="00BE050E">
        <w:rPr>
          <w:rFonts w:asciiTheme="minorHAnsi" w:hAnsiTheme="minorHAnsi" w:cs="Aparajita"/>
        </w:rPr>
        <w:t xml:space="preserve">ammenligninger, beslægtede beslutninger og til sidst </w:t>
      </w:r>
      <w:r w:rsidR="00BB4C2B">
        <w:rPr>
          <w:rFonts w:asciiTheme="minorHAnsi" w:hAnsiTheme="minorHAnsi" w:cs="Aparajita"/>
        </w:rPr>
        <w:t>nået</w:t>
      </w:r>
      <w:r w:rsidR="00511FED" w:rsidRPr="00BE050E">
        <w:rPr>
          <w:rFonts w:asciiTheme="minorHAnsi" w:hAnsiTheme="minorHAnsi" w:cs="Aparajita"/>
        </w:rPr>
        <w:t xml:space="preserve"> frem til en konkret</w:t>
      </w:r>
      <w:r w:rsidRPr="00BE050E">
        <w:rPr>
          <w:rFonts w:asciiTheme="minorHAnsi" w:hAnsiTheme="minorHAnsi" w:cs="Aparajita"/>
        </w:rPr>
        <w:t xml:space="preserve"> h</w:t>
      </w:r>
      <w:r w:rsidR="00BB4C2B">
        <w:rPr>
          <w:rFonts w:asciiTheme="minorHAnsi" w:hAnsiTheme="minorHAnsi" w:cs="Aparajita"/>
        </w:rPr>
        <w:t>andlemulighed</w:t>
      </w:r>
      <w:r w:rsidRPr="00BE050E">
        <w:rPr>
          <w:rFonts w:asciiTheme="minorHAnsi" w:hAnsiTheme="minorHAnsi" w:cs="Aparajita"/>
        </w:rPr>
        <w:t xml:space="preserve">. Tilgangen </w:t>
      </w:r>
      <w:r w:rsidR="00ED14A7" w:rsidRPr="00BE050E">
        <w:rPr>
          <w:rFonts w:asciiTheme="minorHAnsi" w:hAnsiTheme="minorHAnsi" w:cs="Aparajita"/>
        </w:rPr>
        <w:t xml:space="preserve">opstiller på den måde en konkret fremgangsmåde, som har affinitet med </w:t>
      </w:r>
      <w:proofErr w:type="spellStart"/>
      <w:r w:rsidR="00ED14A7" w:rsidRPr="00BE050E">
        <w:rPr>
          <w:rFonts w:asciiTheme="minorHAnsi" w:hAnsiTheme="minorHAnsi" w:cs="Aparajita"/>
        </w:rPr>
        <w:t>procedurale</w:t>
      </w:r>
      <w:proofErr w:type="spellEnd"/>
      <w:r w:rsidR="00ED14A7" w:rsidRPr="00BE050E">
        <w:rPr>
          <w:rFonts w:asciiTheme="minorHAnsi" w:hAnsiTheme="minorHAnsi" w:cs="Aparajita"/>
        </w:rPr>
        <w:t xml:space="preserve"> forskningsetik, men har samtidig den partikularistiske forskningsetiks blik for </w:t>
      </w:r>
      <w:proofErr w:type="spellStart"/>
      <w:r w:rsidR="00ED14A7" w:rsidRPr="00BE050E">
        <w:rPr>
          <w:rFonts w:asciiTheme="minorHAnsi" w:hAnsiTheme="minorHAnsi" w:cs="Aparajita"/>
        </w:rPr>
        <w:t>tilblivel</w:t>
      </w:r>
      <w:r w:rsidR="00BB4C2B">
        <w:rPr>
          <w:rFonts w:asciiTheme="minorHAnsi" w:hAnsiTheme="minorHAnsi" w:cs="Aparajita"/>
        </w:rPr>
        <w:t>ser</w:t>
      </w:r>
      <w:proofErr w:type="spellEnd"/>
      <w:r w:rsidR="00BB4C2B">
        <w:rPr>
          <w:rFonts w:asciiTheme="minorHAnsi" w:hAnsiTheme="minorHAnsi" w:cs="Aparajita"/>
        </w:rPr>
        <w:t>, ambivalenser og dynamikker</w:t>
      </w:r>
      <w:r w:rsidR="00ED14A7" w:rsidRPr="00BE050E">
        <w:rPr>
          <w:rFonts w:asciiTheme="minorHAnsi" w:hAnsiTheme="minorHAnsi" w:cs="Aparajita"/>
        </w:rPr>
        <w:t>.</w:t>
      </w:r>
    </w:p>
    <w:p w14:paraId="7BC13C19" w14:textId="77777777" w:rsidR="00221BC8" w:rsidRPr="00BE050E" w:rsidRDefault="00221BC8" w:rsidP="00221BC8">
      <w:pPr>
        <w:spacing w:line="276" w:lineRule="auto"/>
        <w:rPr>
          <w:rFonts w:asciiTheme="minorHAnsi" w:hAnsiTheme="minorHAnsi"/>
        </w:rPr>
      </w:pPr>
    </w:p>
    <w:p w14:paraId="051AFACE" w14:textId="77777777" w:rsidR="00221BC8" w:rsidRPr="00BE050E" w:rsidRDefault="00221BC8" w:rsidP="00221BC8">
      <w:pPr>
        <w:spacing w:line="276" w:lineRule="auto"/>
        <w:rPr>
          <w:rFonts w:asciiTheme="minorHAnsi" w:hAnsiTheme="minorHAnsi"/>
          <w:b/>
        </w:rPr>
      </w:pPr>
      <w:r w:rsidRPr="00BE050E">
        <w:rPr>
          <w:rFonts w:asciiTheme="minorHAnsi" w:hAnsiTheme="minorHAnsi"/>
          <w:b/>
        </w:rPr>
        <w:t>Afsluttende overvejelser</w:t>
      </w:r>
    </w:p>
    <w:p w14:paraId="77145C97" w14:textId="61935075" w:rsidR="00221BC8" w:rsidRPr="00BE050E" w:rsidRDefault="00221BC8" w:rsidP="00221BC8">
      <w:pPr>
        <w:spacing w:line="276" w:lineRule="auto"/>
        <w:rPr>
          <w:rFonts w:asciiTheme="minorHAnsi" w:hAnsiTheme="minorHAnsi" w:cstheme="minorHAnsi"/>
        </w:rPr>
      </w:pPr>
      <w:r w:rsidRPr="00BE050E">
        <w:rPr>
          <w:rFonts w:asciiTheme="minorHAnsi" w:hAnsiTheme="minorHAnsi"/>
        </w:rPr>
        <w:t xml:space="preserve">I indledningen beskrev jeg de forskningsetiske dilemmaer, som den norske forsker Katrine Fangen </w:t>
      </w:r>
      <w:r w:rsidR="00BB4C2B">
        <w:rPr>
          <w:rFonts w:asciiTheme="minorHAnsi" w:hAnsiTheme="minorHAnsi"/>
        </w:rPr>
        <w:t>stod i, da hun blev vidende om e</w:t>
      </w:r>
      <w:r w:rsidRPr="00BE050E">
        <w:rPr>
          <w:rFonts w:asciiTheme="minorHAnsi" w:hAnsiTheme="minorHAnsi"/>
        </w:rPr>
        <w:t xml:space="preserve">t forestående højreradikalt angreb i et venstreorienteret miljø. Fangen var spændt ud mellem kravet om fortrolighed og anonymitet på den ene side, og kravet om at afværge lovbrud på den anden. Fangens dilemma peger imidlertid også på det faktum, at vi kan komme til at begrænse </w:t>
      </w:r>
      <w:r w:rsidRPr="00BE050E">
        <w:rPr>
          <w:rFonts w:asciiTheme="minorHAnsi" w:hAnsiTheme="minorHAnsi" w:cstheme="minorHAnsi"/>
        </w:rPr>
        <w:t xml:space="preserve">den samlede vidensproduktion, hvis der er særlige restriktioner knyttet til undersøgelse af specifikke tematikker. Hvis vi bliver for rigide i vores forskningsetiske praksis. </w:t>
      </w:r>
    </w:p>
    <w:p w14:paraId="6331100E" w14:textId="6196E2AC" w:rsidR="00221BC8" w:rsidRPr="00BE050E" w:rsidRDefault="00221BC8" w:rsidP="00221BC8">
      <w:pPr>
        <w:spacing w:line="276" w:lineRule="auto"/>
        <w:ind w:firstLine="426"/>
        <w:rPr>
          <w:rFonts w:asciiTheme="minorHAnsi" w:hAnsiTheme="minorHAnsi" w:cstheme="minorHAnsi"/>
        </w:rPr>
      </w:pPr>
      <w:r w:rsidRPr="00BE050E">
        <w:rPr>
          <w:rFonts w:asciiTheme="minorHAnsi" w:hAnsiTheme="minorHAnsi"/>
          <w:iCs/>
        </w:rPr>
        <w:t xml:space="preserve">I et arbejdspapir nævner sociologerne Michael Hviid Jacobsen og Søren Kristiansen, at man ofte diskuterer, </w:t>
      </w:r>
      <w:r w:rsidRPr="00BE050E">
        <w:rPr>
          <w:rFonts w:asciiTheme="minorHAnsi" w:hAnsiTheme="minorHAnsi"/>
        </w:rPr>
        <w:t xml:space="preserve">hvor uetisk man </w:t>
      </w:r>
      <w:r w:rsidRPr="00BE050E">
        <w:rPr>
          <w:rFonts w:asciiTheme="minorHAnsi" w:hAnsiTheme="minorHAnsi"/>
          <w:i/>
          <w:iCs/>
        </w:rPr>
        <w:t xml:space="preserve">kan </w:t>
      </w:r>
      <w:r w:rsidRPr="00BE050E">
        <w:rPr>
          <w:rFonts w:asciiTheme="minorHAnsi" w:hAnsiTheme="minorHAnsi"/>
        </w:rPr>
        <w:t xml:space="preserve">tillade sig at være, og hvor etisk man bliver </w:t>
      </w:r>
      <w:r w:rsidRPr="00BE050E">
        <w:rPr>
          <w:rFonts w:asciiTheme="minorHAnsi" w:hAnsiTheme="minorHAnsi"/>
          <w:i/>
          <w:iCs/>
        </w:rPr>
        <w:t xml:space="preserve">nødt til </w:t>
      </w:r>
      <w:r w:rsidRPr="00BE050E">
        <w:rPr>
          <w:rFonts w:asciiTheme="minorHAnsi" w:hAnsiTheme="minorHAnsi"/>
        </w:rPr>
        <w:t xml:space="preserve">at være. Jacobsen og Kristiansen foreslår i stedet, at man diskuterer det omvendte spørgsmål: Hvor etisk </w:t>
      </w:r>
      <w:r w:rsidRPr="00BE050E">
        <w:rPr>
          <w:rFonts w:asciiTheme="minorHAnsi" w:hAnsiTheme="minorHAnsi"/>
          <w:i/>
          <w:iCs/>
        </w:rPr>
        <w:t xml:space="preserve">skal </w:t>
      </w:r>
      <w:r w:rsidRPr="00BE050E">
        <w:rPr>
          <w:rFonts w:asciiTheme="minorHAnsi" w:hAnsiTheme="minorHAnsi"/>
        </w:rPr>
        <w:t xml:space="preserve">man tillade sig at være, og hvor uetisk bliver man </w:t>
      </w:r>
      <w:r w:rsidRPr="00BE050E">
        <w:rPr>
          <w:rFonts w:asciiTheme="minorHAnsi" w:hAnsiTheme="minorHAnsi"/>
          <w:i/>
          <w:iCs/>
        </w:rPr>
        <w:t xml:space="preserve">nødt til </w:t>
      </w:r>
      <w:r w:rsidRPr="00BE050E">
        <w:rPr>
          <w:rFonts w:asciiTheme="minorHAnsi" w:hAnsiTheme="minorHAnsi"/>
        </w:rPr>
        <w:t>at være.</w:t>
      </w:r>
      <w:r w:rsidR="00341D30">
        <w:rPr>
          <w:rStyle w:val="Fodnotehenvisning"/>
          <w:rFonts w:asciiTheme="minorHAnsi" w:hAnsiTheme="minorHAnsi"/>
        </w:rPr>
        <w:footnoteReference w:id="46"/>
      </w:r>
      <w:r w:rsidRPr="00BE050E">
        <w:rPr>
          <w:rFonts w:asciiTheme="minorHAnsi" w:hAnsiTheme="minorHAnsi"/>
        </w:rPr>
        <w:t xml:space="preserve"> Pointen er, at man i det første tilfælde betragter etik som uretfærdige hindringer eller forbud, man er blevet pålagt, mens man i det andet tilfælde betragter etik som en nødvendig del af forskningsprocessen og </w:t>
      </w:r>
      <w:proofErr w:type="spellStart"/>
      <w:r w:rsidRPr="00BE050E">
        <w:rPr>
          <w:rFonts w:asciiTheme="minorHAnsi" w:hAnsiTheme="minorHAnsi"/>
        </w:rPr>
        <w:t>vidensproduktionen</w:t>
      </w:r>
      <w:proofErr w:type="spellEnd"/>
      <w:r w:rsidRPr="00BE050E">
        <w:rPr>
          <w:rFonts w:asciiTheme="minorHAnsi" w:hAnsiTheme="minorHAnsi"/>
        </w:rPr>
        <w:t>, og dermed som noget man skal værne om og tage højde for i sin fors</w:t>
      </w:r>
      <w:r w:rsidR="00341D30">
        <w:rPr>
          <w:rFonts w:asciiTheme="minorHAnsi" w:hAnsiTheme="minorHAnsi"/>
        </w:rPr>
        <w:t>kning</w:t>
      </w:r>
      <w:r w:rsidRPr="00BE050E">
        <w:rPr>
          <w:rFonts w:asciiTheme="minorHAnsi" w:hAnsiTheme="minorHAnsi"/>
        </w:rPr>
        <w:t>.</w:t>
      </w:r>
      <w:r w:rsidR="00341D30">
        <w:rPr>
          <w:rStyle w:val="Fodnotehenvisning"/>
          <w:rFonts w:asciiTheme="minorHAnsi" w:hAnsiTheme="minorHAnsi"/>
        </w:rPr>
        <w:footnoteReference w:id="47"/>
      </w:r>
      <w:r w:rsidRPr="00BE050E">
        <w:rPr>
          <w:rFonts w:asciiTheme="minorHAnsi" w:hAnsiTheme="minorHAnsi"/>
        </w:rPr>
        <w:t xml:space="preserve"> Det er en temmelig præcis analyse af forskningsprocessens etiske karakter. Man skal naturligvis bestræbe sig på at tænke og handle etisk, men i løbet af forskningsprocessen vil der opstå situationer, hvor man – paradoksalt nok af forskningsetiske hensyn – bliver nødt til at agere uetisk. Det er netop derfor, vi ikke må blive for rigide </w:t>
      </w:r>
      <w:r w:rsidRPr="00BE050E">
        <w:rPr>
          <w:rFonts w:asciiTheme="minorHAnsi" w:hAnsiTheme="minorHAnsi" w:cstheme="minorHAnsi"/>
        </w:rPr>
        <w:t>i vores forskningsetiske praksis.</w:t>
      </w:r>
    </w:p>
    <w:p w14:paraId="48E7789E" w14:textId="77777777" w:rsidR="00375E78" w:rsidRDefault="00221BC8" w:rsidP="00221BC8">
      <w:pPr>
        <w:spacing w:line="276" w:lineRule="auto"/>
        <w:ind w:firstLine="426"/>
        <w:rPr>
          <w:rFonts w:asciiTheme="minorHAnsi" w:hAnsiTheme="minorHAnsi"/>
        </w:rPr>
      </w:pPr>
      <w:r w:rsidRPr="00BE050E">
        <w:rPr>
          <w:rFonts w:asciiTheme="minorHAnsi" w:hAnsiTheme="minorHAnsi" w:cstheme="minorHAnsi"/>
        </w:rPr>
        <w:t xml:space="preserve">I denne artikel har </w:t>
      </w:r>
      <w:r w:rsidRPr="00BE050E">
        <w:rPr>
          <w:rFonts w:asciiTheme="minorHAnsi" w:hAnsiTheme="minorHAnsi"/>
        </w:rPr>
        <w:t xml:space="preserve">jeg udarbejdet en tentativ distinktion mellem to væsensforskellige forskningsetikker, en </w:t>
      </w:r>
      <w:proofErr w:type="spellStart"/>
      <w:r w:rsidRPr="00BE050E">
        <w:rPr>
          <w:rFonts w:asciiTheme="minorHAnsi" w:hAnsiTheme="minorHAnsi"/>
        </w:rPr>
        <w:t>procedural</w:t>
      </w:r>
      <w:proofErr w:type="spellEnd"/>
      <w:r w:rsidRPr="00BE050E">
        <w:rPr>
          <w:rFonts w:asciiTheme="minorHAnsi" w:hAnsiTheme="minorHAnsi"/>
        </w:rPr>
        <w:t xml:space="preserve"> og en partikularistisk. En </w:t>
      </w:r>
      <w:proofErr w:type="spellStart"/>
      <w:r w:rsidRPr="00BE050E">
        <w:rPr>
          <w:rFonts w:asciiTheme="minorHAnsi" w:hAnsiTheme="minorHAnsi"/>
        </w:rPr>
        <w:t>procedural</w:t>
      </w:r>
      <w:proofErr w:type="spellEnd"/>
      <w:r w:rsidRPr="00BE050E">
        <w:rPr>
          <w:rFonts w:asciiTheme="minorHAnsi" w:hAnsiTheme="minorHAnsi"/>
        </w:rPr>
        <w:t xml:space="preserve"> forskningsetik følger </w:t>
      </w:r>
      <w:r w:rsidRPr="00BE050E">
        <w:rPr>
          <w:rFonts w:asciiTheme="minorHAnsi" w:hAnsiTheme="minorHAnsi"/>
        </w:rPr>
        <w:lastRenderedPageBreak/>
        <w:t xml:space="preserve">bestemte på forhånd fastlagte retningslinjer, som typisk er formuleret i standardiserede, kontekstuafhængige principper for god etisk adfærd, mens en partikularistisk forskningsetik foretager en konkret og kontekstafhængig vurdering af de specifikke etiske problemstillinger og dilemmaer, som de viser sig i praksis gennem hele forskningsprocessen. Begge typer besidder styrker og lider </w:t>
      </w:r>
      <w:r w:rsidR="00375E78">
        <w:rPr>
          <w:rFonts w:asciiTheme="minorHAnsi" w:hAnsiTheme="minorHAnsi"/>
        </w:rPr>
        <w:t xml:space="preserve">samtidig </w:t>
      </w:r>
      <w:r w:rsidRPr="00BE050E">
        <w:rPr>
          <w:rFonts w:asciiTheme="minorHAnsi" w:hAnsiTheme="minorHAnsi"/>
        </w:rPr>
        <w:t xml:space="preserve">under nogle svagheder, som jeg har identificeret og analyseret. </w:t>
      </w:r>
    </w:p>
    <w:p w14:paraId="6C41C505" w14:textId="0BE2A289" w:rsidR="00221BC8" w:rsidRPr="00BE050E" w:rsidRDefault="00221BC8" w:rsidP="00221BC8">
      <w:pPr>
        <w:spacing w:line="276" w:lineRule="auto"/>
        <w:ind w:firstLine="426"/>
        <w:rPr>
          <w:rFonts w:asciiTheme="minorHAnsi" w:hAnsiTheme="minorHAnsi" w:cs="Aparajita"/>
        </w:rPr>
      </w:pPr>
      <w:r w:rsidRPr="00BE050E">
        <w:rPr>
          <w:rFonts w:asciiTheme="minorHAnsi" w:hAnsiTheme="minorHAnsi"/>
        </w:rPr>
        <w:t xml:space="preserve">I artiklen har jeg ikke forsøgt at afskaffe hverken </w:t>
      </w:r>
      <w:proofErr w:type="spellStart"/>
      <w:r w:rsidRPr="00BE050E">
        <w:rPr>
          <w:rFonts w:asciiTheme="minorHAnsi" w:hAnsiTheme="minorHAnsi"/>
        </w:rPr>
        <w:t>procedurale</w:t>
      </w:r>
      <w:proofErr w:type="spellEnd"/>
      <w:r w:rsidRPr="00BE050E">
        <w:rPr>
          <w:rFonts w:asciiTheme="minorHAnsi" w:hAnsiTheme="minorHAnsi"/>
        </w:rPr>
        <w:t xml:space="preserve"> eller partikularistiske forståelser af forskningsetik. Jeg har derimod argumenteret for, at de repræsenterer to sider af god forskningsetik. Samtidig har jeg med afsæt i dem forsøgt at give et bud på en pragmatisk-dualistisk forståelse af forskningsetik, </w:t>
      </w:r>
      <w:r w:rsidRPr="00BE050E">
        <w:rPr>
          <w:rFonts w:asciiTheme="minorHAnsi" w:hAnsiTheme="minorHAnsi" w:cs="Aparajita"/>
        </w:rPr>
        <w:t xml:space="preserve">der både trækker på selvstændigheden og væsensforskelligheden mellem dem, og som samtidig er konstrueret med henblik på, hvad der er hensigtsmæssigt og realistisk at gøre i en konkret forskningspraksis. Intentionen med artiklen har således både været at analysere og diskutere to forskellige tilgange til forskningsetik og samtidig kvalificere en forskningsetik, der trækker på netop disse tilgange. </w:t>
      </w:r>
    </w:p>
    <w:p w14:paraId="5A458BB4" w14:textId="0F6562B3" w:rsidR="00EE432D" w:rsidRPr="00BE050E" w:rsidRDefault="00221BC8" w:rsidP="00EE432D">
      <w:pPr>
        <w:spacing w:line="276" w:lineRule="auto"/>
        <w:ind w:firstLine="426"/>
        <w:rPr>
          <w:rFonts w:asciiTheme="minorHAnsi" w:hAnsiTheme="minorHAnsi"/>
        </w:rPr>
      </w:pPr>
      <w:r w:rsidRPr="00BE050E">
        <w:rPr>
          <w:rFonts w:asciiTheme="minorHAnsi" w:hAnsiTheme="minorHAnsi" w:cs="Aparajita"/>
        </w:rPr>
        <w:t>Den pragmatisk-dualistiske forskningsetik, jeg har diskuteret</w:t>
      </w:r>
      <w:r w:rsidR="00375E78">
        <w:rPr>
          <w:rFonts w:asciiTheme="minorHAnsi" w:hAnsiTheme="minorHAnsi" w:cs="Aparajita"/>
        </w:rPr>
        <w:t>, og som jeg vil plædere for</w:t>
      </w:r>
      <w:r w:rsidRPr="00BE050E">
        <w:rPr>
          <w:rFonts w:asciiTheme="minorHAnsi" w:hAnsiTheme="minorHAnsi" w:cs="Aparajita"/>
        </w:rPr>
        <w:t xml:space="preserve">, </w:t>
      </w:r>
      <w:r w:rsidR="00EE432D" w:rsidRPr="00BE050E">
        <w:rPr>
          <w:rFonts w:asciiTheme="minorHAnsi" w:hAnsiTheme="minorHAnsi" w:cs="Aparajita"/>
        </w:rPr>
        <w:t>tilstræber at behandle nye situationer med et retrospektivt analytisk blik på tidligere situationer, således at beslutninger af forskningsetisk karakter baseres på tidligere erfaringer og praksisser</w:t>
      </w:r>
      <w:r w:rsidR="00EE432D" w:rsidRPr="00BE050E">
        <w:rPr>
          <w:rFonts w:asciiTheme="minorHAnsi" w:hAnsiTheme="minorHAnsi"/>
        </w:rPr>
        <w:t xml:space="preserve">. </w:t>
      </w:r>
      <w:r w:rsidRPr="00BE050E">
        <w:rPr>
          <w:rFonts w:asciiTheme="minorHAnsi" w:hAnsiTheme="minorHAnsi" w:cstheme="minorHAnsi"/>
        </w:rPr>
        <w:t>Det er en tilgang, der tilstræber at ha</w:t>
      </w:r>
      <w:r w:rsidR="00EE432D" w:rsidRPr="00BE050E">
        <w:rPr>
          <w:rFonts w:asciiTheme="minorHAnsi" w:hAnsiTheme="minorHAnsi" w:cstheme="minorHAnsi"/>
        </w:rPr>
        <w:t>ve blik for</w:t>
      </w:r>
      <w:r w:rsidRPr="00BE050E">
        <w:rPr>
          <w:rFonts w:asciiTheme="minorHAnsi" w:hAnsiTheme="minorHAnsi" w:cstheme="minorHAnsi"/>
        </w:rPr>
        <w:t xml:space="preserve"> alle de dilemmaer, modsigelser og vanskeligheder, der vil opstå i løbet af forskningsprocessen, </w:t>
      </w:r>
      <w:bookmarkStart w:id="0" w:name="_GoBack"/>
      <w:bookmarkEnd w:id="0"/>
      <w:r w:rsidRPr="00BE050E">
        <w:rPr>
          <w:rFonts w:asciiTheme="minorHAnsi" w:hAnsiTheme="minorHAnsi" w:cstheme="minorHAnsi"/>
        </w:rPr>
        <w:t xml:space="preserve">men som samtidig ikke lader det være op til den </w:t>
      </w:r>
      <w:r w:rsidR="00EE432D" w:rsidRPr="00BE050E">
        <w:rPr>
          <w:rFonts w:asciiTheme="minorHAnsi" w:hAnsiTheme="minorHAnsi" w:cstheme="minorHAnsi"/>
        </w:rPr>
        <w:t>enkelte forsker alene at afgøre hver problemstilling,</w:t>
      </w:r>
      <w:r w:rsidR="00EE432D" w:rsidRPr="00BE050E">
        <w:rPr>
          <w:rFonts w:asciiTheme="minorHAnsi" w:hAnsiTheme="minorHAnsi" w:cs="Aparajita"/>
        </w:rPr>
        <w:t xml:space="preserve"> som om den er løsrevet fra </w:t>
      </w:r>
      <w:r w:rsidR="008C5AFF" w:rsidRPr="00BE050E">
        <w:rPr>
          <w:rFonts w:asciiTheme="minorHAnsi" w:hAnsiTheme="minorHAnsi" w:cs="Aparajita"/>
        </w:rPr>
        <w:t xml:space="preserve">de </w:t>
      </w:r>
      <w:r w:rsidR="00EE432D" w:rsidRPr="00BE050E">
        <w:rPr>
          <w:rFonts w:asciiTheme="minorHAnsi" w:hAnsiTheme="minorHAnsi" w:cs="Aparajita"/>
        </w:rPr>
        <w:t>tidligere.</w:t>
      </w:r>
    </w:p>
    <w:p w14:paraId="31A9AA09" w14:textId="20A22685" w:rsidR="00D8573F" w:rsidRPr="000C0D50" w:rsidRDefault="00221BC8" w:rsidP="000C0D50">
      <w:pPr>
        <w:spacing w:line="276" w:lineRule="auto"/>
        <w:ind w:firstLine="426"/>
        <w:rPr>
          <w:rFonts w:asciiTheme="minorHAnsi" w:hAnsiTheme="minorHAnsi"/>
        </w:rPr>
      </w:pPr>
      <w:r w:rsidRPr="00BE050E">
        <w:rPr>
          <w:rFonts w:asciiTheme="minorHAnsi" w:hAnsiTheme="minorHAnsi"/>
        </w:rPr>
        <w:t xml:space="preserve">Det er naturligvis langt fra givet, at en pragmatisk-dualistiske forskningsetik </w:t>
      </w:r>
      <w:r w:rsidRPr="00BE050E">
        <w:rPr>
          <w:rFonts w:asciiTheme="minorHAnsi" w:hAnsiTheme="minorHAnsi" w:cs="Aparajita"/>
        </w:rPr>
        <w:t xml:space="preserve">er anvendelig for alle forskningsprojekter, og den skal selvsagt tilpasses det konkrete projekt, man sidder med. Den kan derfor mest af alt betragtes som et eksempel på en forskningsetik, som andre kan tage op og videreudvikle eller kvalificere, men som samtidig allerede nu kan </w:t>
      </w:r>
      <w:r w:rsidRPr="00747C52">
        <w:rPr>
          <w:rFonts w:asciiTheme="minorHAnsi" w:hAnsiTheme="minorHAnsi" w:cs="Aparajita"/>
        </w:rPr>
        <w:t xml:space="preserve">indgå i et </w:t>
      </w:r>
      <w:r w:rsidRPr="00747C52">
        <w:rPr>
          <w:rFonts w:asciiTheme="minorHAnsi" w:hAnsiTheme="minorHAnsi"/>
        </w:rPr>
        <w:t>arsenal eller katalog af forskningsetiske forståelser og tilgange, man kan trække på i den forskningsetiske praksis.</w:t>
      </w:r>
    </w:p>
    <w:sectPr w:rsidR="00D8573F" w:rsidRPr="000C0D50" w:rsidSect="005F2F03">
      <w:footerReference w:type="even" r:id="rId8"/>
      <w:footerReference w:type="default" r:id="rId9"/>
      <w:endnotePr>
        <w:numFmt w:val="decimal"/>
      </w:endnotePr>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73DAD" w14:textId="77777777" w:rsidR="00CD63AC" w:rsidRDefault="00CD63AC" w:rsidP="00E53BF4">
      <w:pPr>
        <w:spacing w:line="240" w:lineRule="auto"/>
      </w:pPr>
      <w:r>
        <w:separator/>
      </w:r>
    </w:p>
  </w:endnote>
  <w:endnote w:type="continuationSeparator" w:id="0">
    <w:p w14:paraId="7F9E229C" w14:textId="77777777" w:rsidR="00CD63AC" w:rsidRDefault="00CD63AC" w:rsidP="00E53B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parajita">
    <w:charset w:val="00"/>
    <w:family w:val="swiss"/>
    <w:pitch w:val="variable"/>
    <w:sig w:usb0="00008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Helvetica">
    <w:panose1 w:val="00000000000000000000"/>
    <w:charset w:val="00"/>
    <w:family w:val="swiss"/>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D659F" w14:textId="77777777" w:rsidR="000D1210" w:rsidRDefault="000D1210" w:rsidP="005C4C0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1CD444BA" w14:textId="77777777" w:rsidR="000D1210" w:rsidRDefault="000D1210" w:rsidP="00A46736">
    <w:pPr>
      <w:pStyle w:val="Sidefod"/>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4D191" w14:textId="77777777" w:rsidR="000D1210" w:rsidRDefault="000D1210" w:rsidP="005C4C0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B64498">
      <w:rPr>
        <w:rStyle w:val="Sidetal"/>
        <w:noProof/>
      </w:rPr>
      <w:t>1</w:t>
    </w:r>
    <w:r>
      <w:rPr>
        <w:rStyle w:val="Sidetal"/>
      </w:rPr>
      <w:fldChar w:fldCharType="end"/>
    </w:r>
  </w:p>
  <w:p w14:paraId="40B1F4B0" w14:textId="77777777" w:rsidR="000D1210" w:rsidRDefault="000D1210" w:rsidP="00A46736">
    <w:pPr>
      <w:pStyle w:val="Sidefod"/>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20695" w14:textId="77777777" w:rsidR="00CD63AC" w:rsidRDefault="00CD63AC" w:rsidP="00E53BF4">
      <w:pPr>
        <w:spacing w:line="240" w:lineRule="auto"/>
      </w:pPr>
      <w:r>
        <w:separator/>
      </w:r>
    </w:p>
  </w:footnote>
  <w:footnote w:type="continuationSeparator" w:id="0">
    <w:p w14:paraId="37EBE568" w14:textId="77777777" w:rsidR="00CD63AC" w:rsidRDefault="00CD63AC" w:rsidP="00E53BF4">
      <w:pPr>
        <w:spacing w:line="240" w:lineRule="auto"/>
      </w:pPr>
      <w:r>
        <w:continuationSeparator/>
      </w:r>
    </w:p>
  </w:footnote>
  <w:footnote w:id="1">
    <w:p w14:paraId="3681E51C" w14:textId="3C1159F7" w:rsidR="000D1210" w:rsidRPr="000735B9" w:rsidRDefault="000D1210" w:rsidP="00A91732">
      <w:pPr>
        <w:pStyle w:val="Fodnotetekst"/>
        <w:contextualSpacing/>
        <w:rPr>
          <w:rFonts w:cs="Aparajita"/>
          <w:sz w:val="20"/>
          <w:szCs w:val="20"/>
          <w:lang w:val="en-US"/>
        </w:rPr>
      </w:pPr>
      <w:r w:rsidRPr="00A91732">
        <w:rPr>
          <w:rStyle w:val="Fodnotehenvisning"/>
          <w:sz w:val="20"/>
          <w:szCs w:val="20"/>
        </w:rPr>
        <w:footnoteRef/>
      </w:r>
      <w:r w:rsidRPr="000735B9">
        <w:rPr>
          <w:sz w:val="20"/>
          <w:szCs w:val="20"/>
          <w:lang w:val="en-US"/>
        </w:rPr>
        <w:t xml:space="preserve"> </w:t>
      </w:r>
      <w:r w:rsidRPr="00A91732">
        <w:rPr>
          <w:rFonts w:cs="Aparajita"/>
          <w:color w:val="000000" w:themeColor="text1"/>
          <w:sz w:val="20"/>
          <w:szCs w:val="20"/>
          <w:lang w:val="en-US"/>
        </w:rPr>
        <w:t xml:space="preserve">Katrine </w:t>
      </w:r>
      <w:proofErr w:type="spellStart"/>
      <w:r w:rsidRPr="00A91732">
        <w:rPr>
          <w:rFonts w:cs="Aparajita"/>
          <w:color w:val="000000" w:themeColor="text1"/>
          <w:sz w:val="20"/>
          <w:szCs w:val="20"/>
          <w:lang w:val="en-US"/>
        </w:rPr>
        <w:t>Fangen</w:t>
      </w:r>
      <w:proofErr w:type="spellEnd"/>
      <w:proofErr w:type="gramStart"/>
      <w:r w:rsidRPr="00A91732">
        <w:rPr>
          <w:rFonts w:cs="Aparajita"/>
          <w:color w:val="000000" w:themeColor="text1"/>
          <w:sz w:val="20"/>
          <w:szCs w:val="20"/>
          <w:lang w:val="en-US"/>
        </w:rPr>
        <w:t>, ”</w:t>
      </w:r>
      <w:proofErr w:type="spellStart"/>
      <w:r w:rsidRPr="00A91732">
        <w:rPr>
          <w:rFonts w:cs="Aparajita"/>
          <w:color w:val="000000" w:themeColor="text1"/>
          <w:sz w:val="20"/>
          <w:szCs w:val="20"/>
          <w:lang w:val="en-US"/>
        </w:rPr>
        <w:t>Fangens</w:t>
      </w:r>
      <w:proofErr w:type="spellEnd"/>
      <w:proofErr w:type="gramEnd"/>
      <w:r w:rsidRPr="00A91732">
        <w:rPr>
          <w:rFonts w:cs="Aparajita"/>
          <w:color w:val="000000" w:themeColor="text1"/>
          <w:sz w:val="20"/>
          <w:szCs w:val="20"/>
          <w:lang w:val="en-US"/>
        </w:rPr>
        <w:t xml:space="preserve"> dilemma”. </w:t>
      </w:r>
      <w:proofErr w:type="spellStart"/>
      <w:r w:rsidRPr="00A91732">
        <w:rPr>
          <w:rFonts w:cs="Aparajita"/>
          <w:i/>
          <w:color w:val="000000" w:themeColor="text1"/>
          <w:sz w:val="20"/>
          <w:szCs w:val="20"/>
          <w:lang w:val="en-US"/>
        </w:rPr>
        <w:t>Nytt</w:t>
      </w:r>
      <w:proofErr w:type="spellEnd"/>
      <w:r w:rsidRPr="00A91732">
        <w:rPr>
          <w:rFonts w:cs="Aparajita"/>
          <w:i/>
          <w:color w:val="000000" w:themeColor="text1"/>
          <w:sz w:val="20"/>
          <w:szCs w:val="20"/>
          <w:lang w:val="en-US"/>
        </w:rPr>
        <w:t xml:space="preserve"> </w:t>
      </w:r>
      <w:proofErr w:type="spellStart"/>
      <w:r w:rsidRPr="00A91732">
        <w:rPr>
          <w:rFonts w:cs="Aparajita"/>
          <w:i/>
          <w:color w:val="000000" w:themeColor="text1"/>
          <w:sz w:val="20"/>
          <w:szCs w:val="20"/>
          <w:lang w:val="en-US"/>
        </w:rPr>
        <w:t>Norsk</w:t>
      </w:r>
      <w:proofErr w:type="spellEnd"/>
      <w:r w:rsidRPr="00A91732">
        <w:rPr>
          <w:rFonts w:cs="Aparajita"/>
          <w:i/>
          <w:color w:val="000000" w:themeColor="text1"/>
          <w:sz w:val="20"/>
          <w:szCs w:val="20"/>
          <w:lang w:val="en-US"/>
        </w:rPr>
        <w:t xml:space="preserve"> </w:t>
      </w:r>
      <w:proofErr w:type="spellStart"/>
      <w:r w:rsidRPr="00A91732">
        <w:rPr>
          <w:rFonts w:cs="Aparajita"/>
          <w:i/>
          <w:color w:val="000000" w:themeColor="text1"/>
          <w:sz w:val="20"/>
          <w:szCs w:val="20"/>
          <w:lang w:val="en-US"/>
        </w:rPr>
        <w:t>Tidsskrift</w:t>
      </w:r>
      <w:proofErr w:type="spellEnd"/>
      <w:r w:rsidRPr="00A91732">
        <w:rPr>
          <w:rFonts w:cs="Aparajita"/>
          <w:color w:val="000000" w:themeColor="text1"/>
          <w:sz w:val="20"/>
          <w:szCs w:val="20"/>
          <w:lang w:val="en-US"/>
        </w:rPr>
        <w:t xml:space="preserve">, vol. 15, no. 3 (1998), 257-269; Katrine </w:t>
      </w:r>
      <w:proofErr w:type="spellStart"/>
      <w:r w:rsidRPr="00A91732">
        <w:rPr>
          <w:rFonts w:cs="Aparajita"/>
          <w:color w:val="000000" w:themeColor="text1"/>
          <w:sz w:val="20"/>
          <w:szCs w:val="20"/>
          <w:lang w:val="en-US"/>
        </w:rPr>
        <w:t>Fangen</w:t>
      </w:r>
      <w:proofErr w:type="spellEnd"/>
      <w:r w:rsidRPr="00A91732">
        <w:rPr>
          <w:rFonts w:cs="Aparajita"/>
          <w:color w:val="000000" w:themeColor="text1"/>
          <w:sz w:val="20"/>
          <w:szCs w:val="20"/>
          <w:lang w:val="en-US"/>
        </w:rPr>
        <w:t xml:space="preserve">, “Right-wing skinheads: Nostalgia and binary oppositions”. </w:t>
      </w:r>
      <w:r w:rsidRPr="00A91732">
        <w:rPr>
          <w:rFonts w:cs="Aparajita"/>
          <w:i/>
          <w:color w:val="000000" w:themeColor="text1"/>
          <w:sz w:val="20"/>
          <w:szCs w:val="20"/>
          <w:lang w:val="en-US"/>
        </w:rPr>
        <w:t>Nordic Journal of Youth Research</w:t>
      </w:r>
      <w:r w:rsidRPr="00A91732">
        <w:rPr>
          <w:rFonts w:cs="Aparajita"/>
          <w:color w:val="000000" w:themeColor="text1"/>
          <w:sz w:val="20"/>
          <w:szCs w:val="20"/>
          <w:lang w:val="en-US"/>
        </w:rPr>
        <w:t>, vol. 6, no. 3 (1998), 33-49.</w:t>
      </w:r>
    </w:p>
  </w:footnote>
  <w:footnote w:id="2">
    <w:p w14:paraId="421E351F" w14:textId="656AFD90" w:rsidR="000D1210" w:rsidRPr="00A91732" w:rsidRDefault="000D1210" w:rsidP="00A91732">
      <w:pPr>
        <w:pStyle w:val="Fodnotetekst"/>
        <w:contextualSpacing/>
        <w:rPr>
          <w:rFonts w:eastAsia="Times New Roman" w:cs="Arial"/>
          <w:b/>
          <w:color w:val="131313"/>
          <w:sz w:val="20"/>
          <w:szCs w:val="20"/>
        </w:rPr>
      </w:pPr>
      <w:r w:rsidRPr="00A91732">
        <w:rPr>
          <w:rStyle w:val="Fodnotehenvisning"/>
          <w:rFonts w:cs="Arial"/>
          <w:sz w:val="20"/>
          <w:szCs w:val="20"/>
        </w:rPr>
        <w:footnoteRef/>
      </w:r>
      <w:r w:rsidRPr="00A91732">
        <w:rPr>
          <w:rFonts w:cs="Arial"/>
          <w:sz w:val="20"/>
          <w:szCs w:val="20"/>
        </w:rPr>
        <w:t xml:space="preserve"> I artiklen arbejder jeg ikke med en distinktion mellem etik og moral, ligesom jeg ikke i nævneværdig grad forholder mig til den almene etik, som givetvis spiller en rolle for forskningsetikken. Det kan blot nævnes, at en </w:t>
      </w:r>
      <w:proofErr w:type="spellStart"/>
      <w:r w:rsidRPr="00A91732">
        <w:rPr>
          <w:rFonts w:cs="Arial"/>
          <w:i/>
          <w:sz w:val="20"/>
          <w:szCs w:val="20"/>
        </w:rPr>
        <w:t>procedural</w:t>
      </w:r>
      <w:proofErr w:type="spellEnd"/>
      <w:r w:rsidRPr="00A91732">
        <w:rPr>
          <w:rFonts w:cs="Arial"/>
          <w:sz w:val="20"/>
          <w:szCs w:val="20"/>
        </w:rPr>
        <w:t xml:space="preserve"> forskningsetik på nogle måde har rødder i regeletikken, mens en </w:t>
      </w:r>
      <w:r w:rsidRPr="00A91732">
        <w:rPr>
          <w:rFonts w:cs="Arial"/>
          <w:i/>
          <w:sz w:val="20"/>
          <w:szCs w:val="20"/>
        </w:rPr>
        <w:t>partikularistisk</w:t>
      </w:r>
      <w:r w:rsidRPr="00A91732">
        <w:rPr>
          <w:rFonts w:cs="Arial"/>
          <w:sz w:val="20"/>
          <w:szCs w:val="20"/>
        </w:rPr>
        <w:t xml:space="preserve"> forskningsetik på nogle måder har rødder i dydsetikken. En pragmatisk etik har naturligvis en lang (virknings)historie fra fx John Deweys </w:t>
      </w:r>
      <w:proofErr w:type="spellStart"/>
      <w:r w:rsidRPr="00A91732">
        <w:rPr>
          <w:rFonts w:cs="Arial"/>
          <w:i/>
          <w:sz w:val="20"/>
          <w:szCs w:val="20"/>
        </w:rPr>
        <w:t>Ethics</w:t>
      </w:r>
      <w:proofErr w:type="spellEnd"/>
      <w:r w:rsidRPr="00A91732">
        <w:rPr>
          <w:rFonts w:cs="Arial"/>
          <w:sz w:val="20"/>
          <w:szCs w:val="20"/>
        </w:rPr>
        <w:t xml:space="preserve"> og frem.</w:t>
      </w:r>
    </w:p>
  </w:footnote>
  <w:footnote w:id="3">
    <w:p w14:paraId="3207A596" w14:textId="17587AF0" w:rsidR="000D1210" w:rsidRPr="00A91732" w:rsidRDefault="000D1210" w:rsidP="00A91732">
      <w:pPr>
        <w:pStyle w:val="Fodnotetekst"/>
        <w:contextualSpacing/>
        <w:rPr>
          <w:rFonts w:cs="Arial"/>
          <w:sz w:val="20"/>
          <w:szCs w:val="20"/>
        </w:rPr>
      </w:pPr>
      <w:r w:rsidRPr="00A91732">
        <w:rPr>
          <w:rStyle w:val="Fodnotehenvisning"/>
          <w:rFonts w:cs="Arial"/>
          <w:sz w:val="20"/>
          <w:szCs w:val="20"/>
        </w:rPr>
        <w:footnoteRef/>
      </w:r>
      <w:r w:rsidRPr="00A91732">
        <w:rPr>
          <w:rFonts w:cs="Arial"/>
          <w:sz w:val="20"/>
          <w:szCs w:val="20"/>
        </w:rPr>
        <w:t xml:space="preserve"> Artiklen bygger videre på tidligere præsenterede tekster: Martin Blok Johansen, ”</w:t>
      </w:r>
      <w:proofErr w:type="spellStart"/>
      <w:r w:rsidRPr="00A91732">
        <w:rPr>
          <w:rFonts w:cs="Arial"/>
          <w:sz w:val="20"/>
          <w:szCs w:val="20"/>
        </w:rPr>
        <w:t>Dic</w:t>
      </w:r>
      <w:proofErr w:type="spellEnd"/>
      <w:r w:rsidRPr="00A91732">
        <w:rPr>
          <w:rFonts w:cs="Arial"/>
          <w:sz w:val="20"/>
          <w:szCs w:val="20"/>
        </w:rPr>
        <w:t xml:space="preserve"> cur </w:t>
      </w:r>
      <w:proofErr w:type="spellStart"/>
      <w:r w:rsidRPr="00A91732">
        <w:rPr>
          <w:rFonts w:cs="Arial"/>
          <w:sz w:val="20"/>
          <w:szCs w:val="20"/>
        </w:rPr>
        <w:t>hic</w:t>
      </w:r>
      <w:proofErr w:type="spellEnd"/>
      <w:r w:rsidRPr="00A91732">
        <w:rPr>
          <w:rFonts w:cs="Arial"/>
          <w:sz w:val="20"/>
          <w:szCs w:val="20"/>
        </w:rPr>
        <w:t xml:space="preserve">”, </w:t>
      </w:r>
      <w:r w:rsidRPr="00A91732">
        <w:rPr>
          <w:rFonts w:cs="Arial"/>
          <w:i/>
          <w:sz w:val="20"/>
          <w:szCs w:val="20"/>
        </w:rPr>
        <w:t xml:space="preserve">Nordic Journal of Applied </w:t>
      </w:r>
      <w:proofErr w:type="spellStart"/>
      <w:r w:rsidRPr="00A91732">
        <w:rPr>
          <w:rFonts w:cs="Arial"/>
          <w:i/>
          <w:sz w:val="20"/>
          <w:szCs w:val="20"/>
        </w:rPr>
        <w:t>Ethics</w:t>
      </w:r>
      <w:proofErr w:type="spellEnd"/>
      <w:r w:rsidR="00252866">
        <w:rPr>
          <w:rFonts w:cs="Arial"/>
          <w:sz w:val="20"/>
          <w:szCs w:val="20"/>
        </w:rPr>
        <w:t>, vol. 8, no. 2</w:t>
      </w:r>
      <w:r w:rsidRPr="00A91732">
        <w:rPr>
          <w:rFonts w:cs="Arial"/>
          <w:sz w:val="20"/>
          <w:szCs w:val="20"/>
        </w:rPr>
        <w:t xml:space="preserve"> (2014): 50-68; Martin Blok Johansen, ”</w:t>
      </w:r>
      <w:proofErr w:type="spellStart"/>
      <w:r w:rsidRPr="00A91732">
        <w:rPr>
          <w:rFonts w:cs="Arial"/>
          <w:sz w:val="20"/>
          <w:szCs w:val="20"/>
        </w:rPr>
        <w:t>We</w:t>
      </w:r>
      <w:proofErr w:type="spellEnd"/>
      <w:r w:rsidRPr="00A91732">
        <w:rPr>
          <w:rFonts w:cs="Arial"/>
          <w:sz w:val="20"/>
          <w:szCs w:val="20"/>
        </w:rPr>
        <w:t xml:space="preserve"> See a </w:t>
      </w:r>
      <w:proofErr w:type="spellStart"/>
      <w:r w:rsidRPr="00A91732">
        <w:rPr>
          <w:rFonts w:cs="Arial"/>
          <w:sz w:val="20"/>
          <w:szCs w:val="20"/>
        </w:rPr>
        <w:t>Complicated</w:t>
      </w:r>
      <w:proofErr w:type="spellEnd"/>
      <w:r w:rsidRPr="00A91732">
        <w:rPr>
          <w:rFonts w:cs="Arial"/>
          <w:sz w:val="20"/>
          <w:szCs w:val="20"/>
        </w:rPr>
        <w:t xml:space="preserve"> Network of </w:t>
      </w:r>
      <w:proofErr w:type="spellStart"/>
      <w:r w:rsidRPr="00A91732">
        <w:rPr>
          <w:rFonts w:cs="Arial"/>
          <w:sz w:val="20"/>
          <w:szCs w:val="20"/>
        </w:rPr>
        <w:t>Similarities</w:t>
      </w:r>
      <w:proofErr w:type="spellEnd"/>
      <w:r w:rsidRPr="00A91732">
        <w:rPr>
          <w:rFonts w:cs="Arial"/>
          <w:sz w:val="20"/>
          <w:szCs w:val="20"/>
        </w:rPr>
        <w:t xml:space="preserve">”, </w:t>
      </w:r>
      <w:proofErr w:type="spellStart"/>
      <w:r w:rsidRPr="00A91732">
        <w:rPr>
          <w:rFonts w:cs="Arial"/>
          <w:sz w:val="20"/>
          <w:szCs w:val="20"/>
        </w:rPr>
        <w:t>paper</w:t>
      </w:r>
      <w:proofErr w:type="spellEnd"/>
      <w:r w:rsidRPr="00A91732">
        <w:rPr>
          <w:rFonts w:cs="Arial"/>
          <w:sz w:val="20"/>
          <w:szCs w:val="20"/>
        </w:rPr>
        <w:t xml:space="preserve"> præsenteret til konferencen </w:t>
      </w:r>
      <w:r w:rsidRPr="00A91732">
        <w:rPr>
          <w:rFonts w:cs="Arial"/>
          <w:i/>
          <w:sz w:val="20"/>
          <w:szCs w:val="20"/>
        </w:rPr>
        <w:t xml:space="preserve">Etiske trusselbilder og </w:t>
      </w:r>
      <w:proofErr w:type="spellStart"/>
      <w:r w:rsidRPr="00A91732">
        <w:rPr>
          <w:rFonts w:cs="Arial"/>
          <w:i/>
          <w:sz w:val="20"/>
          <w:szCs w:val="20"/>
        </w:rPr>
        <w:t>profesjonell</w:t>
      </w:r>
      <w:proofErr w:type="spellEnd"/>
      <w:r w:rsidRPr="00A91732">
        <w:rPr>
          <w:rFonts w:cs="Arial"/>
          <w:i/>
          <w:sz w:val="20"/>
          <w:szCs w:val="20"/>
        </w:rPr>
        <w:t xml:space="preserve"> respons</w:t>
      </w:r>
      <w:r w:rsidRPr="00A91732">
        <w:rPr>
          <w:rFonts w:cs="Arial"/>
          <w:sz w:val="20"/>
          <w:szCs w:val="20"/>
        </w:rPr>
        <w:t>, Bergen (2015).</w:t>
      </w:r>
    </w:p>
  </w:footnote>
  <w:footnote w:id="4">
    <w:p w14:paraId="252ED18A" w14:textId="76EC80B2" w:rsidR="00903ED7" w:rsidRPr="00085340" w:rsidRDefault="000D1210" w:rsidP="00A91732">
      <w:pPr>
        <w:pStyle w:val="Fodnotetekst"/>
        <w:contextualSpacing/>
        <w:rPr>
          <w:rFonts w:cs="Aparajita"/>
          <w:color w:val="000000" w:themeColor="text1"/>
          <w:sz w:val="20"/>
          <w:szCs w:val="20"/>
        </w:rPr>
      </w:pPr>
      <w:r w:rsidRPr="00252866">
        <w:rPr>
          <w:rStyle w:val="Fodnotehenvisning"/>
          <w:sz w:val="20"/>
          <w:szCs w:val="20"/>
        </w:rPr>
        <w:footnoteRef/>
      </w:r>
      <w:r w:rsidRPr="00252866">
        <w:rPr>
          <w:sz w:val="20"/>
          <w:szCs w:val="20"/>
        </w:rPr>
        <w:t xml:space="preserve"> </w:t>
      </w:r>
      <w:r w:rsidR="00252866" w:rsidRPr="00252866">
        <w:rPr>
          <w:sz w:val="20"/>
          <w:szCs w:val="20"/>
        </w:rPr>
        <w:t xml:space="preserve">Tine </w:t>
      </w:r>
      <w:r w:rsidRPr="00252866">
        <w:rPr>
          <w:rFonts w:cs="Aparajita"/>
          <w:color w:val="000000" w:themeColor="text1"/>
          <w:sz w:val="20"/>
          <w:szCs w:val="20"/>
        </w:rPr>
        <w:t>Tjørnhøj-Th</w:t>
      </w:r>
      <w:r w:rsidR="00252866" w:rsidRPr="00252866">
        <w:rPr>
          <w:rFonts w:cs="Aparajita"/>
          <w:color w:val="000000" w:themeColor="text1"/>
          <w:sz w:val="20"/>
          <w:szCs w:val="20"/>
        </w:rPr>
        <w:t>omsen &amp; Helle Ploug Hansen,</w:t>
      </w:r>
      <w:r w:rsidRPr="00252866">
        <w:rPr>
          <w:rFonts w:cs="Aparajita"/>
          <w:color w:val="000000" w:themeColor="text1"/>
          <w:sz w:val="20"/>
          <w:szCs w:val="20"/>
        </w:rPr>
        <w:t xml:space="preserve"> </w:t>
      </w:r>
      <w:r w:rsidR="00252866" w:rsidRPr="00252866">
        <w:rPr>
          <w:rFonts w:cs="Aparajita"/>
          <w:color w:val="000000" w:themeColor="text1"/>
          <w:sz w:val="20"/>
          <w:szCs w:val="20"/>
        </w:rPr>
        <w:t>”</w:t>
      </w:r>
      <w:r w:rsidRPr="00252866">
        <w:rPr>
          <w:rFonts w:cs="Aparajita"/>
          <w:color w:val="000000" w:themeColor="text1"/>
          <w:sz w:val="20"/>
          <w:szCs w:val="20"/>
        </w:rPr>
        <w:t>Overskridelsens etik</w:t>
      </w:r>
      <w:r w:rsidR="00252866" w:rsidRPr="00252866">
        <w:rPr>
          <w:rFonts w:cs="Aparajita"/>
          <w:color w:val="000000" w:themeColor="text1"/>
          <w:sz w:val="20"/>
          <w:szCs w:val="20"/>
        </w:rPr>
        <w:t>”, in: Kirsten Hastrup</w:t>
      </w:r>
      <w:r w:rsidRPr="00252866">
        <w:rPr>
          <w:rFonts w:cs="Aparajita"/>
          <w:color w:val="000000" w:themeColor="text1"/>
          <w:sz w:val="20"/>
          <w:szCs w:val="20"/>
        </w:rPr>
        <w:t xml:space="preserve">, </w:t>
      </w:r>
      <w:r w:rsidRPr="00252866">
        <w:rPr>
          <w:rFonts w:cs="Aparajita"/>
          <w:i/>
          <w:color w:val="000000" w:themeColor="text1"/>
          <w:sz w:val="20"/>
          <w:szCs w:val="20"/>
        </w:rPr>
        <w:t>Mellem Mennesker. En grundbog i antropologisk forskningsetik</w:t>
      </w:r>
      <w:r w:rsidR="00252866" w:rsidRPr="00252866">
        <w:rPr>
          <w:rFonts w:cs="Aparajita"/>
          <w:color w:val="000000" w:themeColor="text1"/>
          <w:sz w:val="20"/>
          <w:szCs w:val="20"/>
        </w:rPr>
        <w:t xml:space="preserve"> (</w:t>
      </w:r>
      <w:r w:rsidRPr="00252866">
        <w:rPr>
          <w:rFonts w:cs="Aparajita"/>
          <w:color w:val="000000" w:themeColor="text1"/>
          <w:sz w:val="20"/>
          <w:szCs w:val="20"/>
        </w:rPr>
        <w:t>København: Hans Reitzels Forlag</w:t>
      </w:r>
      <w:r w:rsidR="00252866" w:rsidRPr="00252866">
        <w:rPr>
          <w:rFonts w:cs="Aparajita"/>
          <w:color w:val="000000" w:themeColor="text1"/>
          <w:sz w:val="20"/>
          <w:szCs w:val="20"/>
        </w:rPr>
        <w:t>, 2009), 223-248</w:t>
      </w:r>
      <w:r w:rsidRPr="00252866">
        <w:rPr>
          <w:rFonts w:cs="Aparajita"/>
          <w:color w:val="000000" w:themeColor="text1"/>
          <w:sz w:val="20"/>
          <w:szCs w:val="20"/>
        </w:rPr>
        <w:t>.</w:t>
      </w:r>
    </w:p>
  </w:footnote>
  <w:footnote w:id="5">
    <w:p w14:paraId="76226857" w14:textId="657D4C13" w:rsidR="00085340" w:rsidRPr="00085340" w:rsidRDefault="000D1210" w:rsidP="00085340">
      <w:pPr>
        <w:pStyle w:val="Opstilling-talellerbogst"/>
        <w:numPr>
          <w:ilvl w:val="0"/>
          <w:numId w:val="0"/>
        </w:numPr>
        <w:spacing w:line="240" w:lineRule="auto"/>
        <w:ind w:left="284" w:hanging="284"/>
        <w:rPr>
          <w:rFonts w:cstheme="minorHAnsi"/>
          <w:color w:val="000000" w:themeColor="text1"/>
          <w:sz w:val="20"/>
          <w:szCs w:val="20"/>
          <w:lang w:val="en-US"/>
        </w:rPr>
      </w:pPr>
      <w:r w:rsidRPr="00085340">
        <w:rPr>
          <w:rStyle w:val="Fodnotehenvisning"/>
          <w:sz w:val="20"/>
          <w:szCs w:val="20"/>
        </w:rPr>
        <w:footnoteRef/>
      </w:r>
      <w:r w:rsidRPr="00085340">
        <w:rPr>
          <w:sz w:val="20"/>
          <w:szCs w:val="20"/>
          <w:lang w:val="en-US"/>
        </w:rPr>
        <w:t xml:space="preserve"> </w:t>
      </w:r>
      <w:r w:rsidR="00252866" w:rsidRPr="00085340">
        <w:rPr>
          <w:sz w:val="20"/>
          <w:szCs w:val="20"/>
          <w:lang w:val="en-US"/>
        </w:rPr>
        <w:t xml:space="preserve">Julia </w:t>
      </w:r>
      <w:proofErr w:type="spellStart"/>
      <w:r w:rsidR="00252866" w:rsidRPr="00085340">
        <w:rPr>
          <w:rFonts w:cstheme="minorHAnsi"/>
          <w:color w:val="000000" w:themeColor="text1"/>
          <w:sz w:val="20"/>
          <w:szCs w:val="20"/>
          <w:lang w:val="en-US"/>
        </w:rPr>
        <w:t>Annas</w:t>
      </w:r>
      <w:proofErr w:type="spellEnd"/>
      <w:proofErr w:type="gramStart"/>
      <w:r w:rsidR="00252866" w:rsidRPr="00085340">
        <w:rPr>
          <w:rFonts w:cstheme="minorHAnsi"/>
          <w:color w:val="000000" w:themeColor="text1"/>
          <w:sz w:val="20"/>
          <w:szCs w:val="20"/>
          <w:lang w:val="en-US"/>
        </w:rPr>
        <w:t>,</w:t>
      </w:r>
      <w:r w:rsidRPr="00085340">
        <w:rPr>
          <w:rFonts w:cstheme="minorHAnsi"/>
          <w:color w:val="000000" w:themeColor="text1"/>
          <w:sz w:val="20"/>
          <w:szCs w:val="20"/>
          <w:lang w:val="en-US"/>
        </w:rPr>
        <w:t xml:space="preserve"> </w:t>
      </w:r>
      <w:r w:rsidR="00252866" w:rsidRPr="00085340">
        <w:rPr>
          <w:rFonts w:cstheme="minorHAnsi"/>
          <w:color w:val="000000" w:themeColor="text1"/>
          <w:sz w:val="20"/>
          <w:szCs w:val="20"/>
          <w:lang w:val="en-US"/>
        </w:rPr>
        <w:t>”</w:t>
      </w:r>
      <w:r w:rsidRPr="00085340">
        <w:rPr>
          <w:rFonts w:cstheme="minorHAnsi"/>
          <w:color w:val="000000" w:themeColor="text1"/>
          <w:sz w:val="20"/>
          <w:szCs w:val="20"/>
          <w:lang w:val="en-US"/>
        </w:rPr>
        <w:t>Ethics</w:t>
      </w:r>
      <w:proofErr w:type="gramEnd"/>
      <w:r w:rsidRPr="00085340">
        <w:rPr>
          <w:rFonts w:cstheme="minorHAnsi"/>
          <w:color w:val="000000" w:themeColor="text1"/>
          <w:sz w:val="20"/>
          <w:szCs w:val="20"/>
          <w:lang w:val="en-US"/>
        </w:rPr>
        <w:t xml:space="preserve"> and Morality</w:t>
      </w:r>
      <w:r w:rsidR="00252866" w:rsidRPr="00085340">
        <w:rPr>
          <w:rFonts w:cstheme="minorHAnsi"/>
          <w:color w:val="000000" w:themeColor="text1"/>
          <w:sz w:val="20"/>
          <w:szCs w:val="20"/>
          <w:lang w:val="en-US"/>
        </w:rPr>
        <w:t xml:space="preserve">”, in: </w:t>
      </w:r>
      <w:r w:rsidR="00085340" w:rsidRPr="00085340">
        <w:rPr>
          <w:color w:val="000000" w:themeColor="text1"/>
          <w:sz w:val="20"/>
          <w:szCs w:val="20"/>
          <w:lang w:val="en-US"/>
        </w:rPr>
        <w:t>Lawrence Becker &amp; Charlotte Becker</w:t>
      </w:r>
      <w:r w:rsidRPr="00085340">
        <w:rPr>
          <w:rFonts w:cstheme="minorHAnsi"/>
          <w:color w:val="000000" w:themeColor="text1"/>
          <w:sz w:val="20"/>
          <w:szCs w:val="20"/>
          <w:lang w:val="en-US"/>
        </w:rPr>
        <w:t xml:space="preserve">, </w:t>
      </w:r>
      <w:proofErr w:type="spellStart"/>
      <w:r w:rsidRPr="00085340">
        <w:rPr>
          <w:rFonts w:cstheme="minorHAnsi"/>
          <w:i/>
          <w:color w:val="000000" w:themeColor="text1"/>
          <w:sz w:val="20"/>
          <w:szCs w:val="20"/>
          <w:lang w:val="en-US"/>
        </w:rPr>
        <w:t>Encyklopedia</w:t>
      </w:r>
      <w:proofErr w:type="spellEnd"/>
      <w:r w:rsidRPr="00085340">
        <w:rPr>
          <w:rFonts w:cstheme="minorHAnsi"/>
          <w:i/>
          <w:color w:val="000000" w:themeColor="text1"/>
          <w:sz w:val="20"/>
          <w:szCs w:val="20"/>
          <w:lang w:val="en-US"/>
        </w:rPr>
        <w:t xml:space="preserve"> of Ethics</w:t>
      </w:r>
      <w:r w:rsidRPr="00085340">
        <w:rPr>
          <w:rFonts w:cstheme="minorHAnsi"/>
          <w:color w:val="000000" w:themeColor="text1"/>
          <w:sz w:val="20"/>
          <w:szCs w:val="20"/>
          <w:lang w:val="en-US"/>
        </w:rPr>
        <w:t xml:space="preserve"> </w:t>
      </w:r>
      <w:r w:rsidR="00252866" w:rsidRPr="00085340">
        <w:rPr>
          <w:rFonts w:cstheme="minorHAnsi"/>
          <w:color w:val="000000" w:themeColor="text1"/>
          <w:sz w:val="20"/>
          <w:szCs w:val="20"/>
          <w:lang w:val="en-US"/>
        </w:rPr>
        <w:t>(</w:t>
      </w:r>
      <w:r w:rsidRPr="00085340">
        <w:rPr>
          <w:rFonts w:cstheme="minorHAnsi"/>
          <w:color w:val="000000" w:themeColor="text1"/>
          <w:sz w:val="20"/>
          <w:szCs w:val="20"/>
          <w:lang w:val="en-US"/>
        </w:rPr>
        <w:t>London Routledge</w:t>
      </w:r>
      <w:r w:rsidR="00252866" w:rsidRPr="00085340">
        <w:rPr>
          <w:rFonts w:cstheme="minorHAnsi"/>
          <w:color w:val="000000" w:themeColor="text1"/>
          <w:sz w:val="20"/>
          <w:szCs w:val="20"/>
          <w:lang w:val="en-US"/>
        </w:rPr>
        <w:t>, 2001): 485-487</w:t>
      </w:r>
      <w:r w:rsidRPr="00085340">
        <w:rPr>
          <w:rFonts w:cstheme="minorHAnsi"/>
          <w:color w:val="000000" w:themeColor="text1"/>
          <w:sz w:val="20"/>
          <w:szCs w:val="20"/>
          <w:lang w:val="en-US"/>
        </w:rPr>
        <w:t>.</w:t>
      </w:r>
    </w:p>
  </w:footnote>
  <w:footnote w:id="6">
    <w:p w14:paraId="37BD920F" w14:textId="40E6666F" w:rsidR="000D1210" w:rsidRPr="00085340" w:rsidRDefault="000D1210" w:rsidP="00A91732">
      <w:pPr>
        <w:pStyle w:val="Fodnotetekst"/>
        <w:contextualSpacing/>
        <w:rPr>
          <w:sz w:val="20"/>
          <w:szCs w:val="20"/>
        </w:rPr>
      </w:pPr>
      <w:r w:rsidRPr="00A91732">
        <w:rPr>
          <w:rStyle w:val="Fodnotehenvisning"/>
          <w:sz w:val="20"/>
          <w:szCs w:val="20"/>
        </w:rPr>
        <w:footnoteRef/>
      </w:r>
      <w:r w:rsidRPr="00085340">
        <w:rPr>
          <w:sz w:val="20"/>
          <w:szCs w:val="20"/>
        </w:rPr>
        <w:t xml:space="preserve"> </w:t>
      </w:r>
      <w:r w:rsidRPr="00085340">
        <w:rPr>
          <w:rFonts w:cs="Aparajita"/>
          <w:color w:val="000000" w:themeColor="text1"/>
          <w:sz w:val="20"/>
          <w:szCs w:val="20"/>
        </w:rPr>
        <w:t xml:space="preserve">Aristoteles, </w:t>
      </w:r>
      <w:r w:rsidRPr="00085340">
        <w:rPr>
          <w:rFonts w:cs="Aparajita"/>
          <w:i/>
          <w:color w:val="000000" w:themeColor="text1"/>
          <w:sz w:val="20"/>
          <w:szCs w:val="20"/>
        </w:rPr>
        <w:t xml:space="preserve">Den </w:t>
      </w:r>
      <w:proofErr w:type="spellStart"/>
      <w:r w:rsidRPr="00085340">
        <w:rPr>
          <w:rFonts w:cs="Aparajita"/>
          <w:i/>
          <w:color w:val="000000" w:themeColor="text1"/>
          <w:sz w:val="20"/>
          <w:szCs w:val="20"/>
        </w:rPr>
        <w:t>nikomacheiske</w:t>
      </w:r>
      <w:proofErr w:type="spellEnd"/>
      <w:r w:rsidRPr="00085340">
        <w:rPr>
          <w:rFonts w:cs="Aparajita"/>
          <w:i/>
          <w:color w:val="000000" w:themeColor="text1"/>
          <w:sz w:val="20"/>
          <w:szCs w:val="20"/>
        </w:rPr>
        <w:t xml:space="preserve"> etik</w:t>
      </w:r>
      <w:r w:rsidRPr="00085340">
        <w:rPr>
          <w:rFonts w:cs="Aparajita"/>
          <w:color w:val="000000" w:themeColor="text1"/>
          <w:sz w:val="20"/>
          <w:szCs w:val="20"/>
        </w:rPr>
        <w:t xml:space="preserve"> (København: Det lille forlag, 1995), 32-33.</w:t>
      </w:r>
    </w:p>
  </w:footnote>
  <w:footnote w:id="7">
    <w:p w14:paraId="533995E2" w14:textId="13B70869" w:rsidR="00085340" w:rsidRPr="00E961FD" w:rsidRDefault="000D1210" w:rsidP="00A91732">
      <w:pPr>
        <w:pStyle w:val="Fodnotetekst"/>
        <w:contextualSpacing/>
        <w:rPr>
          <w:color w:val="000000" w:themeColor="text1"/>
          <w:sz w:val="20"/>
          <w:szCs w:val="20"/>
        </w:rPr>
      </w:pPr>
      <w:r w:rsidRPr="00E961FD">
        <w:rPr>
          <w:rStyle w:val="Fodnotehenvisning"/>
          <w:sz w:val="20"/>
          <w:szCs w:val="20"/>
        </w:rPr>
        <w:footnoteRef/>
      </w:r>
      <w:r w:rsidR="00085340" w:rsidRPr="00E961FD">
        <w:rPr>
          <w:sz w:val="20"/>
          <w:szCs w:val="20"/>
        </w:rPr>
        <w:t xml:space="preserve"> Hans Fink,</w:t>
      </w:r>
      <w:r w:rsidRPr="00E961FD">
        <w:rPr>
          <w:color w:val="000000" w:themeColor="text1"/>
          <w:sz w:val="20"/>
          <w:szCs w:val="20"/>
        </w:rPr>
        <w:t xml:space="preserve"> </w:t>
      </w:r>
      <w:r w:rsidR="00E961FD" w:rsidRPr="00E961FD">
        <w:rPr>
          <w:color w:val="000000" w:themeColor="text1"/>
          <w:sz w:val="20"/>
          <w:szCs w:val="20"/>
        </w:rPr>
        <w:t>”</w:t>
      </w:r>
      <w:r w:rsidRPr="00E961FD">
        <w:rPr>
          <w:color w:val="000000" w:themeColor="text1"/>
          <w:sz w:val="20"/>
          <w:szCs w:val="20"/>
        </w:rPr>
        <w:t>Universitetsfagenes etik</w:t>
      </w:r>
      <w:r w:rsidR="00E961FD" w:rsidRPr="00E961FD">
        <w:rPr>
          <w:color w:val="000000" w:themeColor="text1"/>
          <w:sz w:val="20"/>
          <w:szCs w:val="20"/>
        </w:rPr>
        <w:t>”, i</w:t>
      </w:r>
      <w:r w:rsidRPr="00E961FD">
        <w:rPr>
          <w:color w:val="000000" w:themeColor="text1"/>
          <w:sz w:val="20"/>
          <w:szCs w:val="20"/>
        </w:rPr>
        <w:t>n</w:t>
      </w:r>
      <w:r w:rsidR="00085340" w:rsidRPr="00E961FD">
        <w:rPr>
          <w:color w:val="000000" w:themeColor="text1"/>
          <w:sz w:val="20"/>
          <w:szCs w:val="20"/>
        </w:rPr>
        <w:t>: Hans</w:t>
      </w:r>
      <w:r w:rsidR="00E961FD" w:rsidRPr="00E961FD">
        <w:rPr>
          <w:color w:val="000000" w:themeColor="text1"/>
          <w:sz w:val="20"/>
          <w:szCs w:val="20"/>
        </w:rPr>
        <w:t xml:space="preserve"> Fink, Peter </w:t>
      </w:r>
      <w:r w:rsidR="00085340" w:rsidRPr="00E961FD">
        <w:rPr>
          <w:color w:val="000000" w:themeColor="text1"/>
          <w:sz w:val="20"/>
          <w:szCs w:val="20"/>
        </w:rPr>
        <w:t>C. Kjærgaard, Helge Kragh &amp; Jens Erik Kristensen,</w:t>
      </w:r>
      <w:r w:rsidRPr="00E961FD">
        <w:rPr>
          <w:color w:val="000000" w:themeColor="text1"/>
          <w:sz w:val="20"/>
          <w:szCs w:val="20"/>
        </w:rPr>
        <w:t xml:space="preserve"> </w:t>
      </w:r>
      <w:r w:rsidRPr="00E961FD">
        <w:rPr>
          <w:i/>
          <w:color w:val="000000" w:themeColor="text1"/>
          <w:sz w:val="20"/>
          <w:szCs w:val="20"/>
        </w:rPr>
        <w:t>Universitet og videnskab</w:t>
      </w:r>
      <w:r w:rsidRPr="00E961FD">
        <w:rPr>
          <w:color w:val="000000" w:themeColor="text1"/>
          <w:sz w:val="20"/>
          <w:szCs w:val="20"/>
        </w:rPr>
        <w:t xml:space="preserve"> </w:t>
      </w:r>
      <w:r w:rsidR="00085340" w:rsidRPr="00E961FD">
        <w:rPr>
          <w:color w:val="000000" w:themeColor="text1"/>
          <w:sz w:val="20"/>
          <w:szCs w:val="20"/>
        </w:rPr>
        <w:t>(</w:t>
      </w:r>
      <w:r w:rsidRPr="00E961FD">
        <w:rPr>
          <w:color w:val="000000" w:themeColor="text1"/>
          <w:sz w:val="20"/>
          <w:szCs w:val="20"/>
        </w:rPr>
        <w:t>København: Hans Reitzels Forlag</w:t>
      </w:r>
      <w:r w:rsidR="00085340" w:rsidRPr="00E961FD">
        <w:rPr>
          <w:color w:val="000000" w:themeColor="text1"/>
          <w:sz w:val="20"/>
          <w:szCs w:val="20"/>
        </w:rPr>
        <w:t>, 2003), 193-221</w:t>
      </w:r>
      <w:r w:rsidR="00E961FD">
        <w:rPr>
          <w:color w:val="000000" w:themeColor="text1"/>
          <w:sz w:val="20"/>
          <w:szCs w:val="20"/>
        </w:rPr>
        <w:t>.</w:t>
      </w:r>
    </w:p>
  </w:footnote>
  <w:footnote w:id="8">
    <w:p w14:paraId="7F29FA98" w14:textId="2753068E" w:rsidR="000D1210" w:rsidRPr="00A91732" w:rsidRDefault="000D1210" w:rsidP="00A91732">
      <w:pPr>
        <w:pStyle w:val="Fodnotetekst"/>
        <w:contextualSpacing/>
        <w:rPr>
          <w:sz w:val="20"/>
          <w:szCs w:val="20"/>
          <w:lang w:val="en-US"/>
        </w:rPr>
      </w:pPr>
      <w:r w:rsidRPr="00A91732">
        <w:rPr>
          <w:rStyle w:val="Fodnotehenvisning"/>
          <w:sz w:val="20"/>
          <w:szCs w:val="20"/>
        </w:rPr>
        <w:footnoteRef/>
      </w:r>
      <w:r w:rsidRPr="00A91732">
        <w:rPr>
          <w:sz w:val="20"/>
          <w:szCs w:val="20"/>
          <w:lang w:val="en-US"/>
        </w:rPr>
        <w:t xml:space="preserve"> </w:t>
      </w:r>
      <w:r w:rsidRPr="00A91732">
        <w:rPr>
          <w:rFonts w:cs="Tahoma"/>
          <w:color w:val="000000" w:themeColor="text1"/>
          <w:sz w:val="20"/>
          <w:szCs w:val="20"/>
          <w:lang w:val="en-US"/>
        </w:rPr>
        <w:t xml:space="preserve">Faye Thompson, “Moving from Codes of Ethics to Ethical Relationships for Midwifery Practice”. </w:t>
      </w:r>
      <w:r w:rsidRPr="00A91732">
        <w:rPr>
          <w:rFonts w:cs="Tahoma"/>
          <w:i/>
          <w:color w:val="000000" w:themeColor="text1"/>
          <w:sz w:val="20"/>
          <w:szCs w:val="20"/>
          <w:lang w:val="en-US"/>
        </w:rPr>
        <w:t>Nurse Ethics</w:t>
      </w:r>
      <w:r w:rsidRPr="00A91732">
        <w:rPr>
          <w:rFonts w:cs="Tahoma"/>
          <w:color w:val="000000" w:themeColor="text1"/>
          <w:sz w:val="20"/>
          <w:szCs w:val="20"/>
          <w:lang w:val="en-US"/>
        </w:rPr>
        <w:t>, vol. 9, no. 5 (2002), 522-536.</w:t>
      </w:r>
    </w:p>
  </w:footnote>
  <w:footnote w:id="9">
    <w:p w14:paraId="1AB1AEE7" w14:textId="5CB7CFB9" w:rsidR="000D1210" w:rsidRPr="00A91732" w:rsidRDefault="000D1210" w:rsidP="00A91732">
      <w:pPr>
        <w:pStyle w:val="Fodnotetekst"/>
        <w:contextualSpacing/>
        <w:rPr>
          <w:sz w:val="20"/>
          <w:szCs w:val="20"/>
          <w:lang w:val="en-US"/>
        </w:rPr>
      </w:pPr>
      <w:r w:rsidRPr="00A91732">
        <w:rPr>
          <w:rStyle w:val="Fodnotehenvisning"/>
          <w:sz w:val="20"/>
          <w:szCs w:val="20"/>
        </w:rPr>
        <w:footnoteRef/>
      </w:r>
      <w:r w:rsidRPr="00A91732">
        <w:rPr>
          <w:sz w:val="20"/>
          <w:szCs w:val="20"/>
          <w:lang w:val="en-US"/>
        </w:rPr>
        <w:t xml:space="preserve"> </w:t>
      </w:r>
      <w:r w:rsidRPr="00A91732">
        <w:rPr>
          <w:rFonts w:cs="Aparajita"/>
          <w:color w:val="000000" w:themeColor="text1"/>
          <w:sz w:val="20"/>
          <w:szCs w:val="20"/>
          <w:lang w:val="en-US"/>
        </w:rPr>
        <w:t xml:space="preserve">Anastasia Samaras, </w:t>
      </w:r>
      <w:r w:rsidRPr="00A91732">
        <w:rPr>
          <w:rFonts w:cs="Aparajita"/>
          <w:i/>
          <w:color w:val="000000" w:themeColor="text1"/>
          <w:sz w:val="20"/>
          <w:szCs w:val="20"/>
          <w:lang w:val="en-US"/>
        </w:rPr>
        <w:t>Self-study teacher research: Improving your practice through collaborative inquiry</w:t>
      </w:r>
      <w:r w:rsidRPr="00A91732">
        <w:rPr>
          <w:rFonts w:cs="Aparajita"/>
          <w:color w:val="000000" w:themeColor="text1"/>
          <w:sz w:val="20"/>
          <w:szCs w:val="20"/>
          <w:lang w:val="en-US"/>
        </w:rPr>
        <w:t xml:space="preserve"> (Thousand Oaks, CA: Sage, 2011), 147.</w:t>
      </w:r>
    </w:p>
  </w:footnote>
  <w:footnote w:id="10">
    <w:p w14:paraId="0D9D172B" w14:textId="07EC9AC2" w:rsidR="000D1210" w:rsidRPr="00A91732" w:rsidRDefault="000D1210" w:rsidP="00A91732">
      <w:pPr>
        <w:pStyle w:val="Fodnotetekst"/>
        <w:contextualSpacing/>
        <w:rPr>
          <w:sz w:val="20"/>
          <w:szCs w:val="20"/>
          <w:lang w:val="en-US"/>
        </w:rPr>
      </w:pPr>
      <w:r w:rsidRPr="00A91732">
        <w:rPr>
          <w:rStyle w:val="Fodnotehenvisning"/>
          <w:sz w:val="20"/>
          <w:szCs w:val="20"/>
        </w:rPr>
        <w:footnoteRef/>
      </w:r>
      <w:r w:rsidRPr="00A91732">
        <w:rPr>
          <w:sz w:val="20"/>
          <w:szCs w:val="20"/>
          <w:lang w:val="en-US"/>
        </w:rPr>
        <w:t xml:space="preserve"> </w:t>
      </w:r>
      <w:r w:rsidRPr="00A91732">
        <w:rPr>
          <w:rFonts w:cs="Tahoma"/>
          <w:color w:val="000000" w:themeColor="text1"/>
          <w:sz w:val="20"/>
          <w:szCs w:val="20"/>
          <w:lang w:val="en-US"/>
        </w:rPr>
        <w:t xml:space="preserve">Rob Aitken, “The democratic method of obtaining capital – culture, governmentality and ethics of mass investment”. </w:t>
      </w:r>
      <w:r w:rsidRPr="00A91732">
        <w:rPr>
          <w:rFonts w:cs="Tahoma"/>
          <w:i/>
          <w:color w:val="000000" w:themeColor="text1"/>
          <w:sz w:val="20"/>
          <w:szCs w:val="20"/>
          <w:lang w:val="en-US"/>
        </w:rPr>
        <w:t>Consumption Markets &amp; Culture</w:t>
      </w:r>
      <w:r w:rsidRPr="00A91732">
        <w:rPr>
          <w:rFonts w:cs="Tahoma"/>
          <w:color w:val="000000" w:themeColor="text1"/>
          <w:sz w:val="20"/>
          <w:szCs w:val="20"/>
          <w:lang w:val="en-US"/>
        </w:rPr>
        <w:t>, vol. 6, no. 4 (2003), 293-317.</w:t>
      </w:r>
    </w:p>
  </w:footnote>
  <w:footnote w:id="11">
    <w:p w14:paraId="076D3363" w14:textId="31891DE4" w:rsidR="000D1210" w:rsidRPr="00A91732" w:rsidRDefault="000D1210" w:rsidP="00A91732">
      <w:pPr>
        <w:pStyle w:val="Fodnotetekst"/>
        <w:contextualSpacing/>
        <w:rPr>
          <w:sz w:val="20"/>
          <w:szCs w:val="20"/>
          <w:lang w:val="en-US"/>
        </w:rPr>
      </w:pPr>
      <w:r w:rsidRPr="00A91732">
        <w:rPr>
          <w:rStyle w:val="Fodnotehenvisning"/>
          <w:sz w:val="20"/>
          <w:szCs w:val="20"/>
        </w:rPr>
        <w:footnoteRef/>
      </w:r>
      <w:r w:rsidRPr="00A91732">
        <w:rPr>
          <w:sz w:val="20"/>
          <w:szCs w:val="20"/>
          <w:lang w:val="en-US"/>
        </w:rPr>
        <w:t xml:space="preserve"> </w:t>
      </w:r>
      <w:proofErr w:type="spellStart"/>
      <w:r w:rsidRPr="00A91732">
        <w:rPr>
          <w:rFonts w:cs="Aparajita"/>
          <w:color w:val="000000" w:themeColor="text1"/>
          <w:sz w:val="20"/>
          <w:szCs w:val="20"/>
          <w:lang w:val="en-US"/>
        </w:rPr>
        <w:t>Adil</w:t>
      </w:r>
      <w:proofErr w:type="spellEnd"/>
      <w:r w:rsidRPr="00A91732">
        <w:rPr>
          <w:rFonts w:cs="Aparajita"/>
          <w:color w:val="000000" w:themeColor="text1"/>
          <w:sz w:val="20"/>
          <w:szCs w:val="20"/>
          <w:lang w:val="en-US"/>
        </w:rPr>
        <w:t xml:space="preserve"> </w:t>
      </w:r>
      <w:proofErr w:type="spellStart"/>
      <w:r w:rsidRPr="00A91732">
        <w:rPr>
          <w:rFonts w:cs="Aparajita"/>
          <w:color w:val="000000" w:themeColor="text1"/>
          <w:sz w:val="20"/>
          <w:szCs w:val="20"/>
          <w:lang w:val="en-US"/>
        </w:rPr>
        <w:t>Shamoo</w:t>
      </w:r>
      <w:proofErr w:type="spellEnd"/>
      <w:r w:rsidRPr="00A91732">
        <w:rPr>
          <w:rFonts w:cs="Aparajita"/>
          <w:color w:val="000000" w:themeColor="text1"/>
          <w:sz w:val="20"/>
          <w:szCs w:val="20"/>
          <w:lang w:val="en-US"/>
        </w:rPr>
        <w:t xml:space="preserve"> &amp; David </w:t>
      </w:r>
      <w:proofErr w:type="spellStart"/>
      <w:r w:rsidRPr="00A91732">
        <w:rPr>
          <w:rFonts w:cs="Aparajita"/>
          <w:color w:val="000000" w:themeColor="text1"/>
          <w:sz w:val="20"/>
          <w:szCs w:val="20"/>
          <w:lang w:val="en-US"/>
        </w:rPr>
        <w:t>Resnik</w:t>
      </w:r>
      <w:proofErr w:type="spellEnd"/>
      <w:r w:rsidRPr="00A91732">
        <w:rPr>
          <w:rFonts w:cs="Aparajita"/>
          <w:color w:val="000000" w:themeColor="text1"/>
          <w:sz w:val="20"/>
          <w:szCs w:val="20"/>
          <w:lang w:val="en-US"/>
        </w:rPr>
        <w:t xml:space="preserve">, </w:t>
      </w:r>
      <w:r w:rsidRPr="00A91732">
        <w:rPr>
          <w:rFonts w:cs="Aparajita"/>
          <w:i/>
          <w:color w:val="000000" w:themeColor="text1"/>
          <w:sz w:val="20"/>
          <w:szCs w:val="20"/>
          <w:lang w:val="en-US"/>
        </w:rPr>
        <w:t>Responsible conduct of research</w:t>
      </w:r>
      <w:r w:rsidRPr="00A91732">
        <w:rPr>
          <w:rFonts w:cs="Aparajita"/>
          <w:color w:val="000000" w:themeColor="text1"/>
          <w:sz w:val="20"/>
          <w:szCs w:val="20"/>
          <w:lang w:val="en-US"/>
        </w:rPr>
        <w:t xml:space="preserve"> (New York: Oxford University Press, 2009); Arthur Caplan, “Twenty years after. The legacy of the Tuskegee syphilis study”. </w:t>
      </w:r>
      <w:r w:rsidRPr="00A91732">
        <w:rPr>
          <w:rFonts w:cs="Aparajita"/>
          <w:i/>
          <w:color w:val="000000" w:themeColor="text1"/>
          <w:sz w:val="20"/>
          <w:szCs w:val="20"/>
          <w:lang w:val="en-US"/>
        </w:rPr>
        <w:t>Hastings Center Report</w:t>
      </w:r>
      <w:r w:rsidRPr="00A91732">
        <w:rPr>
          <w:rFonts w:cs="Aparajita"/>
          <w:color w:val="000000" w:themeColor="text1"/>
          <w:sz w:val="20"/>
          <w:szCs w:val="20"/>
          <w:lang w:val="en-US"/>
        </w:rPr>
        <w:t>, vol. 22, no. 6 (1992), 29-32.</w:t>
      </w:r>
    </w:p>
  </w:footnote>
  <w:footnote w:id="12">
    <w:p w14:paraId="1332CD6F" w14:textId="10C2FE04" w:rsidR="00E961FD" w:rsidRPr="008C5557" w:rsidRDefault="000D1210" w:rsidP="00A91732">
      <w:pPr>
        <w:pStyle w:val="Fodnotetekst"/>
        <w:contextualSpacing/>
        <w:rPr>
          <w:rFonts w:cs="Aparajita"/>
          <w:color w:val="000000" w:themeColor="text1"/>
          <w:sz w:val="20"/>
          <w:szCs w:val="20"/>
          <w:lang w:val="en-US"/>
        </w:rPr>
      </w:pPr>
      <w:r w:rsidRPr="008C5557">
        <w:rPr>
          <w:rStyle w:val="Fodnotehenvisning"/>
          <w:sz w:val="20"/>
          <w:szCs w:val="20"/>
        </w:rPr>
        <w:footnoteRef/>
      </w:r>
      <w:r w:rsidRPr="008C5557">
        <w:rPr>
          <w:sz w:val="20"/>
          <w:szCs w:val="20"/>
          <w:lang w:val="en-US"/>
        </w:rPr>
        <w:t xml:space="preserve"> </w:t>
      </w:r>
      <w:r w:rsidRPr="008C5557">
        <w:rPr>
          <w:rFonts w:cs="Aparajita"/>
          <w:color w:val="000000" w:themeColor="text1"/>
          <w:sz w:val="20"/>
          <w:szCs w:val="20"/>
          <w:lang w:val="en-US"/>
        </w:rPr>
        <w:t xml:space="preserve">Diana Barbara Dutton, </w:t>
      </w:r>
      <w:r w:rsidRPr="008C5557">
        <w:rPr>
          <w:rFonts w:cs="Aparajita"/>
          <w:i/>
          <w:color w:val="000000" w:themeColor="text1"/>
          <w:sz w:val="20"/>
          <w:szCs w:val="20"/>
          <w:lang w:val="en-US"/>
        </w:rPr>
        <w:t>Worse than the disease: pitfalls of medical progress</w:t>
      </w:r>
      <w:r w:rsidRPr="008C5557">
        <w:rPr>
          <w:rFonts w:cs="Aparajita"/>
          <w:color w:val="000000" w:themeColor="text1"/>
          <w:sz w:val="20"/>
          <w:szCs w:val="20"/>
          <w:lang w:val="en-US"/>
        </w:rPr>
        <w:t xml:space="preserve"> (Cambridge: Cambridge University Press, 1988); </w:t>
      </w:r>
      <w:r w:rsidR="008C5557" w:rsidRPr="008C5557">
        <w:rPr>
          <w:rFonts w:cs="Aparajita"/>
          <w:color w:val="000000" w:themeColor="text1"/>
          <w:sz w:val="20"/>
          <w:szCs w:val="20"/>
          <w:lang w:val="en-US"/>
        </w:rPr>
        <w:t>Alexander</w:t>
      </w:r>
      <w:r w:rsidR="00E961FD" w:rsidRPr="008C5557">
        <w:rPr>
          <w:rFonts w:cs="Aparajita"/>
          <w:color w:val="000000" w:themeColor="text1"/>
          <w:sz w:val="20"/>
          <w:szCs w:val="20"/>
          <w:lang w:val="en-US"/>
        </w:rPr>
        <w:t xml:space="preserve"> Capron,</w:t>
      </w:r>
      <w:r w:rsidRPr="008C5557">
        <w:rPr>
          <w:rFonts w:cs="Aparajita"/>
          <w:color w:val="000000" w:themeColor="text1"/>
          <w:sz w:val="20"/>
          <w:szCs w:val="20"/>
          <w:lang w:val="en-US"/>
        </w:rPr>
        <w:t xml:space="preserve"> </w:t>
      </w:r>
      <w:r w:rsidR="00E961FD" w:rsidRPr="008C5557">
        <w:rPr>
          <w:rFonts w:cs="Aparajita"/>
          <w:color w:val="000000" w:themeColor="text1"/>
          <w:sz w:val="20"/>
          <w:szCs w:val="20"/>
          <w:lang w:val="en-US"/>
        </w:rPr>
        <w:t>“</w:t>
      </w:r>
      <w:r w:rsidRPr="008C5557">
        <w:rPr>
          <w:rFonts w:cs="Aparajita"/>
          <w:color w:val="000000" w:themeColor="text1"/>
          <w:sz w:val="20"/>
          <w:szCs w:val="20"/>
          <w:lang w:val="en-US"/>
        </w:rPr>
        <w:t>Human exper</w:t>
      </w:r>
      <w:r w:rsidR="00E961FD" w:rsidRPr="008C5557">
        <w:rPr>
          <w:rFonts w:cs="Aparajita"/>
          <w:color w:val="000000" w:themeColor="text1"/>
          <w:sz w:val="20"/>
          <w:szCs w:val="20"/>
          <w:lang w:val="en-US"/>
        </w:rPr>
        <w:t xml:space="preserve">imentation”, in: </w:t>
      </w:r>
      <w:r w:rsidR="008C5557" w:rsidRPr="008C5557">
        <w:rPr>
          <w:rFonts w:cs="Aparajita"/>
          <w:color w:val="000000" w:themeColor="text1"/>
          <w:sz w:val="20"/>
          <w:szCs w:val="20"/>
          <w:lang w:val="en-US"/>
        </w:rPr>
        <w:t>Robert</w:t>
      </w:r>
      <w:r w:rsidR="00E961FD" w:rsidRPr="008C5557">
        <w:rPr>
          <w:rFonts w:cs="Aparajita"/>
          <w:color w:val="000000" w:themeColor="text1"/>
          <w:sz w:val="20"/>
          <w:szCs w:val="20"/>
          <w:lang w:val="en-US"/>
        </w:rPr>
        <w:t xml:space="preserve"> Veatch</w:t>
      </w:r>
      <w:r w:rsidRPr="008C5557">
        <w:rPr>
          <w:rFonts w:cs="Aparajita"/>
          <w:color w:val="000000" w:themeColor="text1"/>
          <w:sz w:val="20"/>
          <w:szCs w:val="20"/>
          <w:lang w:val="en-US"/>
        </w:rPr>
        <w:t xml:space="preserve">, </w:t>
      </w:r>
      <w:r w:rsidRPr="008C5557">
        <w:rPr>
          <w:rFonts w:cs="Aparajita"/>
          <w:i/>
          <w:color w:val="000000" w:themeColor="text1"/>
          <w:sz w:val="20"/>
          <w:szCs w:val="20"/>
          <w:lang w:val="en-US"/>
        </w:rPr>
        <w:t>Medical ethics</w:t>
      </w:r>
      <w:r w:rsidR="00E961FD" w:rsidRPr="008C5557">
        <w:rPr>
          <w:rFonts w:cs="Aparajita"/>
          <w:color w:val="000000" w:themeColor="text1"/>
          <w:sz w:val="20"/>
          <w:szCs w:val="20"/>
          <w:lang w:val="en-US"/>
        </w:rPr>
        <w:t xml:space="preserve"> (</w:t>
      </w:r>
      <w:r w:rsidRPr="008C5557">
        <w:rPr>
          <w:rFonts w:cs="Aparajita"/>
          <w:color w:val="000000" w:themeColor="text1"/>
          <w:sz w:val="20"/>
          <w:szCs w:val="20"/>
          <w:lang w:val="en-US"/>
        </w:rPr>
        <w:t>Boston: Jones &amp; Bartlett</w:t>
      </w:r>
      <w:r w:rsidR="00E961FD" w:rsidRPr="008C5557">
        <w:rPr>
          <w:rFonts w:cs="Aparajita"/>
          <w:color w:val="000000" w:themeColor="text1"/>
          <w:sz w:val="20"/>
          <w:szCs w:val="20"/>
          <w:lang w:val="en-US"/>
        </w:rPr>
        <w:t>, 1989), 125-172</w:t>
      </w:r>
      <w:r w:rsidRPr="008C5557">
        <w:rPr>
          <w:rFonts w:cs="Aparajita"/>
          <w:color w:val="000000" w:themeColor="text1"/>
          <w:sz w:val="20"/>
          <w:szCs w:val="20"/>
          <w:lang w:val="en-US"/>
        </w:rPr>
        <w:t>.</w:t>
      </w:r>
    </w:p>
  </w:footnote>
  <w:footnote w:id="13">
    <w:p w14:paraId="02051560" w14:textId="1811B3FB" w:rsidR="000D1210" w:rsidRPr="00A91732" w:rsidRDefault="000D1210" w:rsidP="00A91732">
      <w:pPr>
        <w:pStyle w:val="Fodnotetekst"/>
        <w:contextualSpacing/>
        <w:rPr>
          <w:rFonts w:cs="Aparajita"/>
          <w:color w:val="000000" w:themeColor="text1"/>
          <w:sz w:val="20"/>
          <w:szCs w:val="20"/>
          <w:lang w:val="en-US"/>
        </w:rPr>
      </w:pPr>
      <w:r w:rsidRPr="00A91732">
        <w:rPr>
          <w:rStyle w:val="Fodnotehenvisning"/>
          <w:sz w:val="20"/>
          <w:szCs w:val="20"/>
        </w:rPr>
        <w:footnoteRef/>
      </w:r>
      <w:r w:rsidRPr="00A91732">
        <w:rPr>
          <w:sz w:val="20"/>
          <w:szCs w:val="20"/>
          <w:lang w:val="en-US"/>
        </w:rPr>
        <w:t xml:space="preserve"> </w:t>
      </w:r>
      <w:r w:rsidRPr="00A91732">
        <w:rPr>
          <w:rFonts w:cs="Aparajita"/>
          <w:color w:val="000000" w:themeColor="text1"/>
          <w:sz w:val="20"/>
          <w:szCs w:val="20"/>
          <w:lang w:val="en-US"/>
        </w:rPr>
        <w:t xml:space="preserve">Deborah Zion, Lynn Gillam &amp; </w:t>
      </w:r>
      <w:proofErr w:type="spellStart"/>
      <w:r w:rsidRPr="00A91732">
        <w:rPr>
          <w:rFonts w:cs="Aparajita"/>
          <w:color w:val="000000" w:themeColor="text1"/>
          <w:sz w:val="20"/>
          <w:szCs w:val="20"/>
          <w:lang w:val="en-US"/>
        </w:rPr>
        <w:t>Bebe</w:t>
      </w:r>
      <w:proofErr w:type="spellEnd"/>
      <w:r w:rsidRPr="00A91732">
        <w:rPr>
          <w:rFonts w:cs="Aparajita"/>
          <w:color w:val="000000" w:themeColor="text1"/>
          <w:sz w:val="20"/>
          <w:szCs w:val="20"/>
          <w:lang w:val="en-US"/>
        </w:rPr>
        <w:t xml:space="preserve"> </w:t>
      </w:r>
      <w:proofErr w:type="spellStart"/>
      <w:r w:rsidRPr="00A91732">
        <w:rPr>
          <w:rFonts w:cs="Aparajita"/>
          <w:color w:val="000000" w:themeColor="text1"/>
          <w:sz w:val="20"/>
          <w:szCs w:val="20"/>
          <w:lang w:val="en-US"/>
        </w:rPr>
        <w:t>Loff</w:t>
      </w:r>
      <w:proofErr w:type="spellEnd"/>
      <w:r w:rsidRPr="00A91732">
        <w:rPr>
          <w:rFonts w:cs="Aparajita"/>
          <w:color w:val="000000" w:themeColor="text1"/>
          <w:sz w:val="20"/>
          <w:szCs w:val="20"/>
          <w:lang w:val="en-US"/>
        </w:rPr>
        <w:t xml:space="preserve">, “The Declaration of Helsinki, CIOMS and ethics of research on vulnerable populations”. </w:t>
      </w:r>
      <w:r w:rsidRPr="00A91732">
        <w:rPr>
          <w:rFonts w:cs="Aparajita"/>
          <w:i/>
          <w:color w:val="000000" w:themeColor="text1"/>
          <w:sz w:val="20"/>
          <w:szCs w:val="20"/>
          <w:lang w:val="en-US"/>
        </w:rPr>
        <w:t>Nature Medicine</w:t>
      </w:r>
      <w:r w:rsidRPr="00A91732">
        <w:rPr>
          <w:rFonts w:cs="Aparajita"/>
          <w:color w:val="000000" w:themeColor="text1"/>
          <w:sz w:val="20"/>
          <w:szCs w:val="20"/>
          <w:lang w:val="en-US"/>
        </w:rPr>
        <w:t>, vol. 6, no. 6 (2000), 615-617.</w:t>
      </w:r>
    </w:p>
  </w:footnote>
  <w:footnote w:id="14">
    <w:p w14:paraId="72C50D10" w14:textId="06C4F5DD" w:rsidR="000D1210" w:rsidRPr="00A91732" w:rsidRDefault="000D1210" w:rsidP="00A91732">
      <w:pPr>
        <w:pStyle w:val="Fodnotetekst"/>
        <w:contextualSpacing/>
        <w:rPr>
          <w:sz w:val="20"/>
          <w:szCs w:val="20"/>
          <w:lang w:val="en-US"/>
        </w:rPr>
      </w:pPr>
      <w:r w:rsidRPr="00A91732">
        <w:rPr>
          <w:rStyle w:val="Fodnotehenvisning"/>
          <w:sz w:val="20"/>
          <w:szCs w:val="20"/>
        </w:rPr>
        <w:footnoteRef/>
      </w:r>
      <w:r w:rsidRPr="00A91732">
        <w:rPr>
          <w:sz w:val="20"/>
          <w:szCs w:val="20"/>
          <w:lang w:val="en-US"/>
        </w:rPr>
        <w:t xml:space="preserve"> </w:t>
      </w:r>
      <w:proofErr w:type="spellStart"/>
      <w:r w:rsidRPr="00A91732">
        <w:rPr>
          <w:rFonts w:cs="Aparajita"/>
          <w:color w:val="000000" w:themeColor="text1"/>
          <w:sz w:val="20"/>
          <w:szCs w:val="20"/>
          <w:lang w:val="en-US"/>
        </w:rPr>
        <w:t>Anjum</w:t>
      </w:r>
      <w:proofErr w:type="spellEnd"/>
      <w:r w:rsidRPr="00A91732">
        <w:rPr>
          <w:rFonts w:cs="Aparajita"/>
          <w:color w:val="000000" w:themeColor="text1"/>
          <w:sz w:val="20"/>
          <w:szCs w:val="20"/>
          <w:lang w:val="en-US"/>
        </w:rPr>
        <w:t xml:space="preserve"> </w:t>
      </w:r>
      <w:proofErr w:type="spellStart"/>
      <w:r w:rsidRPr="00A91732">
        <w:rPr>
          <w:rFonts w:cs="Aparajita"/>
          <w:color w:val="000000" w:themeColor="text1"/>
          <w:sz w:val="20"/>
          <w:szCs w:val="20"/>
          <w:lang w:val="en-US"/>
        </w:rPr>
        <w:t>Halai</w:t>
      </w:r>
      <w:proofErr w:type="spellEnd"/>
      <w:r w:rsidRPr="00A91732">
        <w:rPr>
          <w:rFonts w:cs="Aparajita"/>
          <w:color w:val="000000" w:themeColor="text1"/>
          <w:sz w:val="20"/>
          <w:szCs w:val="20"/>
          <w:lang w:val="en-US"/>
        </w:rPr>
        <w:t xml:space="preserve">, “Ethics dilemmas in qualitative research”. </w:t>
      </w:r>
      <w:r w:rsidRPr="00A91732">
        <w:rPr>
          <w:rFonts w:cs="Aparajita"/>
          <w:i/>
          <w:color w:val="000000" w:themeColor="text1"/>
          <w:sz w:val="20"/>
          <w:szCs w:val="20"/>
          <w:lang w:val="en-US"/>
        </w:rPr>
        <w:t>HEC News &amp; Views</w:t>
      </w:r>
      <w:r w:rsidRPr="00A91732">
        <w:rPr>
          <w:rFonts w:cs="Aparajita"/>
          <w:color w:val="000000" w:themeColor="text1"/>
          <w:sz w:val="20"/>
          <w:szCs w:val="20"/>
          <w:lang w:val="en-US"/>
        </w:rPr>
        <w:t>, no. 2-4 (2006).</w:t>
      </w:r>
      <w:r w:rsidRPr="00A91732">
        <w:rPr>
          <w:color w:val="000000" w:themeColor="text1"/>
          <w:sz w:val="20"/>
          <w:szCs w:val="20"/>
          <w:lang w:val="en-US"/>
        </w:rPr>
        <w:t xml:space="preserve"> </w:t>
      </w:r>
      <w:r w:rsidRPr="00A91732">
        <w:rPr>
          <w:rFonts w:cs="Tahoma"/>
          <w:color w:val="000000" w:themeColor="text1"/>
          <w:sz w:val="20"/>
          <w:szCs w:val="20"/>
          <w:lang w:val="en-US"/>
        </w:rPr>
        <w:t xml:space="preserve">Retrieved 16.01.18 from </w:t>
      </w:r>
      <w:r w:rsidRPr="00A91732">
        <w:rPr>
          <w:rFonts w:cs="Aparajita"/>
          <w:color w:val="000000" w:themeColor="text1"/>
          <w:sz w:val="20"/>
          <w:szCs w:val="20"/>
          <w:lang w:val="en-US"/>
        </w:rPr>
        <w:t>http://www.edqual.org/publications/workingpaper/edqualwp4.pdf</w:t>
      </w:r>
    </w:p>
  </w:footnote>
  <w:footnote w:id="15">
    <w:p w14:paraId="6BFA7F9A" w14:textId="4D4FF8A4" w:rsidR="000D1210" w:rsidRPr="00A91732" w:rsidRDefault="000D1210" w:rsidP="00A91732">
      <w:pPr>
        <w:pStyle w:val="Fodnotetekst"/>
        <w:contextualSpacing/>
        <w:rPr>
          <w:sz w:val="20"/>
          <w:szCs w:val="20"/>
          <w:lang w:val="en-US"/>
        </w:rPr>
      </w:pPr>
      <w:r w:rsidRPr="00A91732">
        <w:rPr>
          <w:rStyle w:val="Fodnotehenvisning"/>
          <w:sz w:val="20"/>
          <w:szCs w:val="20"/>
        </w:rPr>
        <w:footnoteRef/>
      </w:r>
      <w:r w:rsidRPr="00A91732">
        <w:rPr>
          <w:sz w:val="20"/>
          <w:szCs w:val="20"/>
          <w:lang w:val="en-US"/>
        </w:rPr>
        <w:t xml:space="preserve"> </w:t>
      </w:r>
      <w:proofErr w:type="spellStart"/>
      <w:r w:rsidRPr="00A91732">
        <w:rPr>
          <w:sz w:val="20"/>
          <w:szCs w:val="20"/>
          <w:lang w:val="en-US"/>
        </w:rPr>
        <w:t>Dilmi</w:t>
      </w:r>
      <w:proofErr w:type="spellEnd"/>
      <w:r w:rsidRPr="00A91732">
        <w:rPr>
          <w:sz w:val="20"/>
          <w:szCs w:val="20"/>
          <w:lang w:val="en-US"/>
        </w:rPr>
        <w:t xml:space="preserve"> </w:t>
      </w:r>
      <w:proofErr w:type="spellStart"/>
      <w:r w:rsidRPr="00A91732">
        <w:rPr>
          <w:rFonts w:cs="Aparajita"/>
          <w:color w:val="000000" w:themeColor="text1"/>
          <w:sz w:val="20"/>
          <w:szCs w:val="20"/>
          <w:lang w:val="en-US"/>
        </w:rPr>
        <w:t>Aluwihare</w:t>
      </w:r>
      <w:proofErr w:type="spellEnd"/>
      <w:r w:rsidRPr="00A91732">
        <w:rPr>
          <w:rFonts w:cs="Aparajita"/>
          <w:color w:val="000000" w:themeColor="text1"/>
          <w:sz w:val="20"/>
          <w:szCs w:val="20"/>
          <w:lang w:val="en-US"/>
        </w:rPr>
        <w:t>-Samaranayake,</w:t>
      </w:r>
      <w:r w:rsidRPr="00A91732">
        <w:rPr>
          <w:color w:val="000000" w:themeColor="text1"/>
          <w:sz w:val="20"/>
          <w:szCs w:val="20"/>
          <w:lang w:val="en-US"/>
        </w:rPr>
        <w:t xml:space="preserve"> “</w:t>
      </w:r>
      <w:r w:rsidRPr="00A91732">
        <w:rPr>
          <w:rFonts w:cs="Aparajita"/>
          <w:color w:val="000000" w:themeColor="text1"/>
          <w:sz w:val="20"/>
          <w:szCs w:val="20"/>
          <w:lang w:val="en-US"/>
        </w:rPr>
        <w:t xml:space="preserve">Ethics in Qualitative Research: A View of the Participants’ and Researchers’ World from a Critical Standpoint”. </w:t>
      </w:r>
      <w:r w:rsidRPr="00A91732">
        <w:rPr>
          <w:rFonts w:cs="Aparajita"/>
          <w:i/>
          <w:color w:val="000000" w:themeColor="text1"/>
          <w:sz w:val="20"/>
          <w:szCs w:val="20"/>
          <w:lang w:val="en-US"/>
        </w:rPr>
        <w:t>International Journal of Qualitative Methods</w:t>
      </w:r>
      <w:r w:rsidRPr="00A91732">
        <w:rPr>
          <w:rFonts w:cs="Aparajita"/>
          <w:color w:val="000000" w:themeColor="text1"/>
          <w:sz w:val="20"/>
          <w:szCs w:val="20"/>
          <w:lang w:val="en-US"/>
        </w:rPr>
        <w:t>, vol. 11, no. 2 (2012), 64.</w:t>
      </w:r>
    </w:p>
  </w:footnote>
  <w:footnote w:id="16">
    <w:p w14:paraId="6B71638C" w14:textId="110374CB" w:rsidR="000D1210" w:rsidRPr="00A91732" w:rsidRDefault="000D1210" w:rsidP="00A91732">
      <w:pPr>
        <w:pStyle w:val="Fodnotetekst"/>
        <w:contextualSpacing/>
        <w:rPr>
          <w:sz w:val="20"/>
          <w:szCs w:val="20"/>
          <w:lang w:val="en-US"/>
        </w:rPr>
      </w:pPr>
      <w:r w:rsidRPr="00A91732">
        <w:rPr>
          <w:rStyle w:val="Fodnotehenvisning"/>
          <w:sz w:val="20"/>
          <w:szCs w:val="20"/>
        </w:rPr>
        <w:footnoteRef/>
      </w:r>
      <w:r w:rsidRPr="00A91732">
        <w:rPr>
          <w:sz w:val="20"/>
          <w:szCs w:val="20"/>
          <w:lang w:val="en-US"/>
        </w:rPr>
        <w:t xml:space="preserve"> </w:t>
      </w:r>
      <w:r w:rsidRPr="00A91732">
        <w:rPr>
          <w:rFonts w:cs="Aparajita"/>
          <w:color w:val="000000" w:themeColor="text1"/>
          <w:sz w:val="20"/>
          <w:szCs w:val="20"/>
          <w:lang w:val="en-US"/>
        </w:rPr>
        <w:t xml:space="preserve">Norman Denzin &amp; Michael </w:t>
      </w:r>
      <w:proofErr w:type="spellStart"/>
      <w:r w:rsidRPr="00A91732">
        <w:rPr>
          <w:rFonts w:cs="Aparajita"/>
          <w:color w:val="000000" w:themeColor="text1"/>
          <w:sz w:val="20"/>
          <w:szCs w:val="20"/>
          <w:lang w:val="en-US"/>
        </w:rPr>
        <w:t>Giardina</w:t>
      </w:r>
      <w:proofErr w:type="spellEnd"/>
      <w:r w:rsidRPr="00A91732">
        <w:rPr>
          <w:rFonts w:cs="Aparajita"/>
          <w:color w:val="000000" w:themeColor="text1"/>
          <w:sz w:val="20"/>
          <w:szCs w:val="20"/>
          <w:lang w:val="en-US"/>
        </w:rPr>
        <w:t xml:space="preserve">, </w:t>
      </w:r>
      <w:r w:rsidRPr="00A91732">
        <w:rPr>
          <w:rFonts w:cs="Aparajita"/>
          <w:i/>
          <w:color w:val="000000" w:themeColor="text1"/>
          <w:sz w:val="20"/>
          <w:szCs w:val="20"/>
          <w:lang w:val="en-US"/>
        </w:rPr>
        <w:t xml:space="preserve">Decolonizing and politics of knowledge: Ethical futures in qualitative </w:t>
      </w:r>
      <w:r w:rsidRPr="000735B9">
        <w:rPr>
          <w:rFonts w:cs="Aparajita"/>
          <w:i/>
          <w:color w:val="000000" w:themeColor="text1"/>
          <w:sz w:val="20"/>
          <w:szCs w:val="20"/>
          <w:lang w:val="en-US"/>
        </w:rPr>
        <w:t>research</w:t>
      </w:r>
      <w:r w:rsidRPr="000735B9">
        <w:rPr>
          <w:rFonts w:cs="Aparajita"/>
          <w:color w:val="000000" w:themeColor="text1"/>
          <w:sz w:val="20"/>
          <w:szCs w:val="20"/>
          <w:lang w:val="en-US"/>
        </w:rPr>
        <w:t xml:space="preserve"> (</w:t>
      </w:r>
      <w:r w:rsidR="000F49E1" w:rsidRPr="000735B9">
        <w:rPr>
          <w:iCs/>
          <w:color w:val="000000" w:themeColor="text1"/>
          <w:sz w:val="20"/>
          <w:szCs w:val="20"/>
          <w:lang w:val="en-US"/>
        </w:rPr>
        <w:t>W</w:t>
      </w:r>
      <w:r w:rsidR="000F49E1" w:rsidRPr="000735B9">
        <w:rPr>
          <w:color w:val="000000" w:themeColor="text1"/>
          <w:sz w:val="20"/>
          <w:szCs w:val="20"/>
          <w:lang w:val="en-US"/>
        </w:rPr>
        <w:t>alnut Creek, CA</w:t>
      </w:r>
      <w:r w:rsidRPr="000735B9">
        <w:rPr>
          <w:rFonts w:cs="Aparajita"/>
          <w:color w:val="000000" w:themeColor="text1"/>
          <w:sz w:val="20"/>
          <w:szCs w:val="20"/>
          <w:lang w:val="en-US"/>
        </w:rPr>
        <w:t>: Left Coast Press, 2007).</w:t>
      </w:r>
    </w:p>
  </w:footnote>
  <w:footnote w:id="17">
    <w:p w14:paraId="1002918F" w14:textId="7820EFA9" w:rsidR="000D1210" w:rsidRPr="00A91732" w:rsidRDefault="000D1210" w:rsidP="00A91732">
      <w:pPr>
        <w:pStyle w:val="Fodnotetekst"/>
        <w:contextualSpacing/>
        <w:rPr>
          <w:sz w:val="20"/>
          <w:szCs w:val="20"/>
          <w:lang w:val="en-US"/>
        </w:rPr>
      </w:pPr>
      <w:r w:rsidRPr="00A91732">
        <w:rPr>
          <w:rStyle w:val="Fodnotehenvisning"/>
          <w:sz w:val="20"/>
          <w:szCs w:val="20"/>
        </w:rPr>
        <w:footnoteRef/>
      </w:r>
      <w:r w:rsidRPr="00A91732">
        <w:rPr>
          <w:sz w:val="20"/>
          <w:szCs w:val="20"/>
          <w:lang w:val="en-US"/>
        </w:rPr>
        <w:t xml:space="preserve"> </w:t>
      </w:r>
      <w:r w:rsidRPr="00A91732">
        <w:rPr>
          <w:rFonts w:cs="Aparajita"/>
          <w:color w:val="000000" w:themeColor="text1"/>
          <w:sz w:val="20"/>
          <w:szCs w:val="20"/>
          <w:lang w:val="en-US"/>
        </w:rPr>
        <w:t xml:space="preserve">Melanie </w:t>
      </w:r>
      <w:proofErr w:type="spellStart"/>
      <w:r w:rsidRPr="00A91732">
        <w:rPr>
          <w:rFonts w:cs="Aparajita"/>
          <w:color w:val="000000" w:themeColor="text1"/>
          <w:sz w:val="20"/>
          <w:szCs w:val="20"/>
          <w:lang w:val="en-US"/>
        </w:rPr>
        <w:t>Mauthner</w:t>
      </w:r>
      <w:proofErr w:type="spellEnd"/>
      <w:r w:rsidRPr="00A91732">
        <w:rPr>
          <w:rFonts w:cs="Aparajita"/>
          <w:color w:val="000000" w:themeColor="text1"/>
          <w:sz w:val="20"/>
          <w:szCs w:val="20"/>
          <w:lang w:val="en-US"/>
        </w:rPr>
        <w:t xml:space="preserve"> &amp; Maxine Birch, </w:t>
      </w:r>
      <w:r w:rsidRPr="00A91732">
        <w:rPr>
          <w:rFonts w:cs="Aparajita"/>
          <w:i/>
          <w:color w:val="000000" w:themeColor="text1"/>
          <w:sz w:val="20"/>
          <w:szCs w:val="20"/>
          <w:lang w:val="en-US"/>
        </w:rPr>
        <w:t>Ethics in qualitative research</w:t>
      </w:r>
      <w:r w:rsidRPr="00A91732">
        <w:rPr>
          <w:rFonts w:cs="Aparajita"/>
          <w:color w:val="000000" w:themeColor="text1"/>
          <w:sz w:val="20"/>
          <w:szCs w:val="20"/>
          <w:lang w:val="en-US"/>
        </w:rPr>
        <w:t xml:space="preserve"> (Thousand Oaks, CA: Sage Publications, 2002).</w:t>
      </w:r>
    </w:p>
  </w:footnote>
  <w:footnote w:id="18">
    <w:p w14:paraId="53BFDBB3" w14:textId="384F2461" w:rsidR="000C0D50" w:rsidRPr="00A91732" w:rsidRDefault="000D1210" w:rsidP="00A91732">
      <w:pPr>
        <w:pStyle w:val="Fodnotetekst"/>
        <w:contextualSpacing/>
        <w:rPr>
          <w:sz w:val="20"/>
          <w:szCs w:val="20"/>
        </w:rPr>
      </w:pPr>
      <w:r w:rsidRPr="00A91732">
        <w:rPr>
          <w:rStyle w:val="Fodnotehenvisning"/>
          <w:sz w:val="20"/>
          <w:szCs w:val="20"/>
        </w:rPr>
        <w:footnoteRef/>
      </w:r>
      <w:r w:rsidRPr="00A91732">
        <w:rPr>
          <w:sz w:val="20"/>
          <w:szCs w:val="20"/>
        </w:rPr>
        <w:t xml:space="preserve"> </w:t>
      </w:r>
      <w:r w:rsidR="00E025E4" w:rsidRPr="00A91732">
        <w:rPr>
          <w:sz w:val="20"/>
          <w:szCs w:val="20"/>
        </w:rPr>
        <w:t>LBK nr. 1188 af 24/09/2016</w:t>
      </w:r>
      <w:r w:rsidR="000C0D50" w:rsidRPr="00A91732">
        <w:rPr>
          <w:rFonts w:cs="Tahoma"/>
          <w:bCs/>
          <w:color w:val="000000" w:themeColor="text1"/>
          <w:sz w:val="20"/>
          <w:szCs w:val="20"/>
        </w:rPr>
        <w:t xml:space="preserve">: </w:t>
      </w:r>
      <w:r w:rsidR="000C0D50" w:rsidRPr="00A91732">
        <w:rPr>
          <w:rFonts w:cs="Tahoma"/>
          <w:bCs/>
          <w:i/>
          <w:color w:val="000000" w:themeColor="text1"/>
          <w:sz w:val="20"/>
          <w:szCs w:val="20"/>
        </w:rPr>
        <w:t>Sundhedsloven</w:t>
      </w:r>
      <w:r w:rsidR="000C0D50" w:rsidRPr="00A91732">
        <w:rPr>
          <w:rFonts w:cs="Tahoma"/>
          <w:bCs/>
          <w:color w:val="000000" w:themeColor="text1"/>
          <w:sz w:val="20"/>
          <w:szCs w:val="20"/>
        </w:rPr>
        <w:t xml:space="preserve">, kap. 4-6. </w:t>
      </w:r>
      <w:r w:rsidR="000C0D50" w:rsidRPr="000735B9">
        <w:rPr>
          <w:rFonts w:cs="Tahoma"/>
          <w:color w:val="000000" w:themeColor="text1"/>
          <w:sz w:val="20"/>
          <w:szCs w:val="20"/>
          <w:lang w:val="en-US"/>
        </w:rPr>
        <w:t xml:space="preserve">Retrieved 16.01.18 from </w:t>
      </w:r>
      <w:r w:rsidR="00E025E4" w:rsidRPr="000735B9">
        <w:rPr>
          <w:sz w:val="20"/>
          <w:szCs w:val="20"/>
          <w:lang w:val="en-US"/>
        </w:rPr>
        <w:t xml:space="preserve">https://www.retsinformation.dk/forms/r0710.aspx?id=183932. </w:t>
      </w:r>
      <w:r w:rsidR="00E025E4" w:rsidRPr="00A91732">
        <w:rPr>
          <w:sz w:val="20"/>
          <w:szCs w:val="20"/>
        </w:rPr>
        <w:t>S</w:t>
      </w:r>
      <w:r w:rsidR="000C0D50" w:rsidRPr="00A91732">
        <w:rPr>
          <w:sz w:val="20"/>
          <w:szCs w:val="20"/>
        </w:rPr>
        <w:t xml:space="preserve">e også </w:t>
      </w:r>
      <w:proofErr w:type="spellStart"/>
      <w:r w:rsidR="000C0D50" w:rsidRPr="00A91732">
        <w:rPr>
          <w:sz w:val="20"/>
          <w:szCs w:val="20"/>
        </w:rPr>
        <w:t>Helsinki</w:t>
      </w:r>
      <w:proofErr w:type="spellEnd"/>
      <w:r w:rsidR="000C0D50" w:rsidRPr="00A91732">
        <w:rPr>
          <w:sz w:val="20"/>
          <w:szCs w:val="20"/>
        </w:rPr>
        <w:t>-deklarationen</w:t>
      </w:r>
      <w:r w:rsidR="00A91732" w:rsidRPr="00A91732">
        <w:rPr>
          <w:sz w:val="20"/>
          <w:szCs w:val="20"/>
        </w:rPr>
        <w:t>,</w:t>
      </w:r>
      <w:r w:rsidR="000C0D50" w:rsidRPr="00A91732">
        <w:rPr>
          <w:sz w:val="20"/>
          <w:szCs w:val="20"/>
        </w:rPr>
        <w:t xml:space="preserve"> §22-26</w:t>
      </w:r>
      <w:r w:rsidR="00A91732" w:rsidRPr="00A91732">
        <w:rPr>
          <w:sz w:val="20"/>
          <w:szCs w:val="20"/>
        </w:rPr>
        <w:t xml:space="preserve">. </w:t>
      </w:r>
      <w:proofErr w:type="spellStart"/>
      <w:r w:rsidR="00A91732" w:rsidRPr="00A91732">
        <w:rPr>
          <w:sz w:val="20"/>
          <w:szCs w:val="20"/>
        </w:rPr>
        <w:t>Retrieved</w:t>
      </w:r>
      <w:proofErr w:type="spellEnd"/>
      <w:r w:rsidR="00A91732" w:rsidRPr="00A91732">
        <w:rPr>
          <w:sz w:val="20"/>
          <w:szCs w:val="20"/>
        </w:rPr>
        <w:t xml:space="preserve"> 16.01.18 from</w:t>
      </w:r>
    </w:p>
    <w:p w14:paraId="7FD6130F" w14:textId="4F337F2B" w:rsidR="000C0D50" w:rsidRPr="00A91732" w:rsidRDefault="00A91732" w:rsidP="00A91732">
      <w:pPr>
        <w:pStyle w:val="Fodnotetekst"/>
        <w:contextualSpacing/>
        <w:rPr>
          <w:sz w:val="20"/>
          <w:szCs w:val="20"/>
        </w:rPr>
      </w:pPr>
      <w:r w:rsidRPr="00A91732">
        <w:rPr>
          <w:sz w:val="20"/>
          <w:szCs w:val="20"/>
        </w:rPr>
        <w:t>https://www.wma.net/policies-post/wma-declaration-of-helsinki-ethical-principles-for-medical-research-involving-human-subjects/.</w:t>
      </w:r>
    </w:p>
  </w:footnote>
  <w:footnote w:id="19">
    <w:p w14:paraId="0BBB0E76" w14:textId="429DCA4A" w:rsidR="000D1210" w:rsidRPr="00A91732" w:rsidRDefault="000D1210" w:rsidP="00A91732">
      <w:pPr>
        <w:pStyle w:val="Fodnotetekst"/>
        <w:contextualSpacing/>
        <w:rPr>
          <w:rFonts w:cs="Aparajita"/>
          <w:sz w:val="20"/>
          <w:szCs w:val="20"/>
          <w:lang w:val="en-US"/>
        </w:rPr>
      </w:pPr>
      <w:r w:rsidRPr="008C5557">
        <w:rPr>
          <w:rStyle w:val="Fodnotehenvisning"/>
          <w:sz w:val="20"/>
          <w:szCs w:val="20"/>
        </w:rPr>
        <w:footnoteRef/>
      </w:r>
      <w:r w:rsidRPr="008C5557">
        <w:rPr>
          <w:sz w:val="20"/>
          <w:szCs w:val="20"/>
          <w:lang w:val="en-US"/>
        </w:rPr>
        <w:t xml:space="preserve"> </w:t>
      </w:r>
      <w:r w:rsidR="008C5557" w:rsidRPr="008C5557">
        <w:rPr>
          <w:sz w:val="20"/>
          <w:szCs w:val="20"/>
          <w:lang w:val="en-US"/>
        </w:rPr>
        <w:t xml:space="preserve">Andrew Webster, Mary </w:t>
      </w:r>
      <w:proofErr w:type="spellStart"/>
      <w:r w:rsidR="008C5557" w:rsidRPr="008C5557">
        <w:rPr>
          <w:sz w:val="20"/>
          <w:szCs w:val="20"/>
          <w:lang w:val="en-US"/>
        </w:rPr>
        <w:t>Boulton</w:t>
      </w:r>
      <w:proofErr w:type="spellEnd"/>
      <w:r w:rsidR="008C5557" w:rsidRPr="008C5557">
        <w:rPr>
          <w:sz w:val="20"/>
          <w:szCs w:val="20"/>
          <w:lang w:val="en-US"/>
        </w:rPr>
        <w:t>, Nik Brown &amp; Graham Lewis</w:t>
      </w:r>
      <w:r w:rsidR="008C5557" w:rsidRPr="008C5557">
        <w:rPr>
          <w:rFonts w:cs="Aparajita"/>
          <w:color w:val="000000" w:themeColor="text1"/>
          <w:sz w:val="20"/>
          <w:szCs w:val="20"/>
          <w:lang w:val="en-US"/>
        </w:rPr>
        <w:t>,</w:t>
      </w:r>
      <w:r w:rsidRPr="008C5557">
        <w:rPr>
          <w:rFonts w:cs="Aparajita"/>
          <w:color w:val="000000" w:themeColor="text1"/>
          <w:sz w:val="20"/>
          <w:szCs w:val="20"/>
          <w:lang w:val="en-US"/>
        </w:rPr>
        <w:t xml:space="preserve"> </w:t>
      </w:r>
      <w:r w:rsidRPr="008C5557">
        <w:rPr>
          <w:rFonts w:cs="Aparajita"/>
          <w:i/>
          <w:color w:val="000000" w:themeColor="text1"/>
          <w:sz w:val="20"/>
          <w:szCs w:val="20"/>
          <w:lang w:val="en-US"/>
        </w:rPr>
        <w:t>Crossing boundaries: social science, health and bioscience research and the process of ethics review</w:t>
      </w:r>
      <w:r w:rsidR="008C5557" w:rsidRPr="008C5557">
        <w:rPr>
          <w:rFonts w:cs="Aparajita"/>
          <w:color w:val="000000" w:themeColor="text1"/>
          <w:sz w:val="20"/>
          <w:szCs w:val="20"/>
          <w:lang w:val="en-US"/>
        </w:rPr>
        <w:t xml:space="preserve"> (2004). </w:t>
      </w:r>
      <w:r w:rsidR="008C5557" w:rsidRPr="008C5557">
        <w:rPr>
          <w:rFonts w:cs="Tahoma"/>
          <w:color w:val="000000" w:themeColor="text1"/>
          <w:sz w:val="20"/>
          <w:szCs w:val="20"/>
          <w:lang w:val="en-US"/>
        </w:rPr>
        <w:t>Retrieved 16.01</w:t>
      </w:r>
      <w:r w:rsidRPr="008C5557">
        <w:rPr>
          <w:rFonts w:cs="Tahoma"/>
          <w:color w:val="000000" w:themeColor="text1"/>
          <w:sz w:val="20"/>
          <w:szCs w:val="20"/>
          <w:lang w:val="en-US"/>
        </w:rPr>
        <w:t xml:space="preserve">.17 </w:t>
      </w:r>
      <w:r w:rsidRPr="008C5557">
        <w:rPr>
          <w:rFonts w:cs="Aparajita"/>
          <w:color w:val="000000" w:themeColor="text1"/>
          <w:sz w:val="20"/>
          <w:szCs w:val="20"/>
          <w:lang w:val="en-US"/>
        </w:rPr>
        <w:t>from http://www.york.ac.uk/res/ref/docs/REFpaper1_v2.pdf.</w:t>
      </w:r>
    </w:p>
  </w:footnote>
  <w:footnote w:id="20">
    <w:p w14:paraId="7D8FE95F" w14:textId="5AFED7B5" w:rsidR="000D1210" w:rsidRPr="00A91732" w:rsidRDefault="000D1210" w:rsidP="00A91732">
      <w:pPr>
        <w:pStyle w:val="Fodnotetekst"/>
        <w:contextualSpacing/>
        <w:rPr>
          <w:rFonts w:cs="Aparajita"/>
          <w:sz w:val="20"/>
          <w:szCs w:val="20"/>
          <w:lang w:val="en-US"/>
        </w:rPr>
      </w:pPr>
      <w:r w:rsidRPr="00A91732">
        <w:rPr>
          <w:rStyle w:val="Fodnotehenvisning"/>
          <w:sz w:val="20"/>
          <w:szCs w:val="20"/>
        </w:rPr>
        <w:footnoteRef/>
      </w:r>
      <w:r w:rsidRPr="00A91732">
        <w:rPr>
          <w:sz w:val="20"/>
          <w:szCs w:val="20"/>
          <w:lang w:val="en-US"/>
        </w:rPr>
        <w:t xml:space="preserve"> Angelica </w:t>
      </w:r>
      <w:r w:rsidRPr="00A91732">
        <w:rPr>
          <w:rFonts w:cstheme="minorHAnsi"/>
          <w:color w:val="000000" w:themeColor="text1"/>
          <w:sz w:val="20"/>
          <w:szCs w:val="20"/>
          <w:lang w:val="en-US"/>
        </w:rPr>
        <w:t xml:space="preserve">Orb, Laurel </w:t>
      </w:r>
      <w:proofErr w:type="spellStart"/>
      <w:r w:rsidRPr="00A91732">
        <w:rPr>
          <w:rFonts w:cstheme="minorHAnsi"/>
          <w:color w:val="000000" w:themeColor="text1"/>
          <w:sz w:val="20"/>
          <w:szCs w:val="20"/>
          <w:lang w:val="en-US"/>
        </w:rPr>
        <w:t>Eisenhauer</w:t>
      </w:r>
      <w:proofErr w:type="spellEnd"/>
      <w:r w:rsidRPr="00A91732">
        <w:rPr>
          <w:rFonts w:cstheme="minorHAnsi"/>
          <w:color w:val="000000" w:themeColor="text1"/>
          <w:sz w:val="20"/>
          <w:szCs w:val="20"/>
          <w:lang w:val="en-US"/>
        </w:rPr>
        <w:t xml:space="preserve"> &amp; Dianne </w:t>
      </w:r>
      <w:proofErr w:type="spellStart"/>
      <w:r w:rsidRPr="00A91732">
        <w:rPr>
          <w:rFonts w:cstheme="minorHAnsi"/>
          <w:color w:val="000000" w:themeColor="text1"/>
          <w:sz w:val="20"/>
          <w:szCs w:val="20"/>
          <w:lang w:val="en-US"/>
        </w:rPr>
        <w:t>Wynaden</w:t>
      </w:r>
      <w:proofErr w:type="spellEnd"/>
      <w:r w:rsidRPr="00A91732">
        <w:rPr>
          <w:rFonts w:cstheme="minorHAnsi"/>
          <w:color w:val="000000" w:themeColor="text1"/>
          <w:sz w:val="20"/>
          <w:szCs w:val="20"/>
          <w:lang w:val="en-US"/>
        </w:rPr>
        <w:t xml:space="preserve">, “Ethics in qualitative research”. </w:t>
      </w:r>
      <w:r w:rsidRPr="00A91732">
        <w:rPr>
          <w:rFonts w:cstheme="minorHAnsi"/>
          <w:i/>
          <w:color w:val="000000" w:themeColor="text1"/>
          <w:sz w:val="20"/>
          <w:szCs w:val="20"/>
          <w:lang w:val="en-US"/>
        </w:rPr>
        <w:t>Journal of Nursing Scholarship</w:t>
      </w:r>
      <w:r w:rsidRPr="00A91732">
        <w:rPr>
          <w:rFonts w:cstheme="minorHAnsi"/>
          <w:color w:val="000000" w:themeColor="text1"/>
          <w:sz w:val="20"/>
          <w:szCs w:val="20"/>
          <w:lang w:val="en-US"/>
        </w:rPr>
        <w:t>, vol. 33, no. 1 (2001), 93-96.</w:t>
      </w:r>
    </w:p>
  </w:footnote>
  <w:footnote w:id="21">
    <w:p w14:paraId="55EDE116" w14:textId="5970AE03" w:rsidR="000D1210" w:rsidRPr="00A91732" w:rsidRDefault="000D1210" w:rsidP="00A91732">
      <w:pPr>
        <w:pStyle w:val="Fodnotetekst"/>
        <w:contextualSpacing/>
        <w:rPr>
          <w:rFonts w:cs="Aparajita"/>
          <w:sz w:val="20"/>
          <w:szCs w:val="20"/>
          <w:lang w:val="en-US"/>
        </w:rPr>
      </w:pPr>
      <w:r w:rsidRPr="00A91732">
        <w:rPr>
          <w:rStyle w:val="Fodnotehenvisning"/>
          <w:sz w:val="20"/>
          <w:szCs w:val="20"/>
        </w:rPr>
        <w:footnoteRef/>
      </w:r>
      <w:r w:rsidRPr="00A91732">
        <w:rPr>
          <w:sz w:val="20"/>
          <w:szCs w:val="20"/>
          <w:lang w:val="en-US"/>
        </w:rPr>
        <w:t xml:space="preserve"> </w:t>
      </w:r>
      <w:r w:rsidRPr="00A91732">
        <w:rPr>
          <w:rFonts w:cs="Aparajita"/>
          <w:color w:val="000000" w:themeColor="text1"/>
          <w:sz w:val="20"/>
          <w:szCs w:val="20"/>
          <w:lang w:val="en-US"/>
        </w:rPr>
        <w:t xml:space="preserve">Paul </w:t>
      </w:r>
      <w:proofErr w:type="spellStart"/>
      <w:r w:rsidRPr="00A91732">
        <w:rPr>
          <w:rFonts w:cs="Aparajita"/>
          <w:color w:val="000000" w:themeColor="text1"/>
          <w:sz w:val="20"/>
          <w:szCs w:val="20"/>
          <w:lang w:val="en-US"/>
        </w:rPr>
        <w:t>Ramcharan</w:t>
      </w:r>
      <w:proofErr w:type="spellEnd"/>
      <w:r w:rsidRPr="00A91732">
        <w:rPr>
          <w:rFonts w:cs="Aparajita"/>
          <w:color w:val="000000" w:themeColor="text1"/>
          <w:sz w:val="20"/>
          <w:szCs w:val="20"/>
          <w:lang w:val="en-US"/>
        </w:rPr>
        <w:t xml:space="preserve"> &amp; John </w:t>
      </w:r>
      <w:proofErr w:type="spellStart"/>
      <w:r w:rsidRPr="00A91732">
        <w:rPr>
          <w:rFonts w:cs="Aparajita"/>
          <w:color w:val="000000" w:themeColor="text1"/>
          <w:sz w:val="20"/>
          <w:szCs w:val="20"/>
          <w:lang w:val="en-US"/>
        </w:rPr>
        <w:t>Cutcliffe</w:t>
      </w:r>
      <w:proofErr w:type="spellEnd"/>
      <w:r w:rsidRPr="00A91732">
        <w:rPr>
          <w:rFonts w:cs="Aparajita"/>
          <w:color w:val="000000" w:themeColor="text1"/>
          <w:sz w:val="20"/>
          <w:szCs w:val="20"/>
          <w:lang w:val="en-US"/>
        </w:rPr>
        <w:t xml:space="preserve">, “Judging the ethics of qualitative research: Considering the ‘ethics as process’ model”. </w:t>
      </w:r>
      <w:r w:rsidRPr="00A91732">
        <w:rPr>
          <w:rFonts w:cs="Aparajita"/>
          <w:i/>
          <w:color w:val="000000" w:themeColor="text1"/>
          <w:sz w:val="20"/>
          <w:szCs w:val="20"/>
          <w:lang w:val="en-US"/>
        </w:rPr>
        <w:t>Health and Social Care in the Community</w:t>
      </w:r>
      <w:r w:rsidRPr="00A91732">
        <w:rPr>
          <w:rFonts w:cs="Aparajita"/>
          <w:color w:val="000000" w:themeColor="text1"/>
          <w:sz w:val="20"/>
          <w:szCs w:val="20"/>
          <w:lang w:val="en-US"/>
        </w:rPr>
        <w:t>, vol. 9, no. 6 (2001), 358-366.</w:t>
      </w:r>
    </w:p>
  </w:footnote>
  <w:footnote w:id="22">
    <w:p w14:paraId="105FAF12" w14:textId="1280BBFA" w:rsidR="000D1210" w:rsidRPr="00A91732" w:rsidRDefault="000D1210" w:rsidP="00A91732">
      <w:pPr>
        <w:pStyle w:val="Fodnotetekst"/>
        <w:contextualSpacing/>
        <w:rPr>
          <w:rFonts w:cs="Aparajita"/>
          <w:sz w:val="20"/>
          <w:szCs w:val="20"/>
          <w:lang w:val="en-US"/>
        </w:rPr>
      </w:pPr>
      <w:r w:rsidRPr="00A91732">
        <w:rPr>
          <w:rStyle w:val="Fodnotehenvisning"/>
          <w:sz w:val="20"/>
          <w:szCs w:val="20"/>
        </w:rPr>
        <w:footnoteRef/>
      </w:r>
      <w:r w:rsidRPr="00A91732">
        <w:rPr>
          <w:sz w:val="20"/>
          <w:szCs w:val="20"/>
          <w:lang w:val="en-US"/>
        </w:rPr>
        <w:t xml:space="preserve"> Erica </w:t>
      </w:r>
      <w:proofErr w:type="spellStart"/>
      <w:r w:rsidRPr="00A91732">
        <w:rPr>
          <w:rFonts w:cs="Aparajita"/>
          <w:color w:val="000000" w:themeColor="text1"/>
          <w:sz w:val="20"/>
          <w:szCs w:val="20"/>
          <w:lang w:val="en-US"/>
        </w:rPr>
        <w:t>Haimes</w:t>
      </w:r>
      <w:proofErr w:type="spellEnd"/>
      <w:r w:rsidRPr="00A91732">
        <w:rPr>
          <w:rFonts w:cs="Aparajita"/>
          <w:color w:val="000000" w:themeColor="text1"/>
          <w:sz w:val="20"/>
          <w:szCs w:val="20"/>
          <w:lang w:val="en-US"/>
        </w:rPr>
        <w:t xml:space="preserve">, “What can the social sciences contribute to the study of ethics? Theoretical, empirical and substantive considerations”. </w:t>
      </w:r>
      <w:r w:rsidRPr="00A91732">
        <w:rPr>
          <w:rFonts w:cs="Aparajita"/>
          <w:i/>
          <w:color w:val="000000" w:themeColor="text1"/>
          <w:sz w:val="20"/>
          <w:szCs w:val="20"/>
          <w:lang w:val="en-US"/>
        </w:rPr>
        <w:t>Bioethics</w:t>
      </w:r>
      <w:r w:rsidRPr="00A91732">
        <w:rPr>
          <w:rFonts w:cs="Aparajita"/>
          <w:color w:val="000000" w:themeColor="text1"/>
          <w:sz w:val="20"/>
          <w:szCs w:val="20"/>
          <w:lang w:val="en-US"/>
        </w:rPr>
        <w:t>, vol. 6, no. 2 (2002), 89-113.</w:t>
      </w:r>
    </w:p>
  </w:footnote>
  <w:footnote w:id="23">
    <w:p w14:paraId="23E29A25" w14:textId="628988CB" w:rsidR="000D1210" w:rsidRPr="00A91732" w:rsidRDefault="000D1210" w:rsidP="00A91732">
      <w:pPr>
        <w:pStyle w:val="Fodnotetekst"/>
        <w:contextualSpacing/>
        <w:rPr>
          <w:rFonts w:cs="Arial"/>
          <w:sz w:val="20"/>
          <w:szCs w:val="20"/>
          <w:lang w:val="en-US"/>
        </w:rPr>
      </w:pPr>
      <w:r w:rsidRPr="00A91732">
        <w:rPr>
          <w:rStyle w:val="Fodnotehenvisning"/>
          <w:sz w:val="20"/>
          <w:szCs w:val="20"/>
        </w:rPr>
        <w:footnoteRef/>
      </w:r>
      <w:r w:rsidRPr="00A91732">
        <w:rPr>
          <w:sz w:val="20"/>
          <w:szCs w:val="20"/>
          <w:lang w:val="en-US"/>
        </w:rPr>
        <w:t xml:space="preserve"> </w:t>
      </w:r>
      <w:r w:rsidRPr="00A91732">
        <w:rPr>
          <w:rFonts w:cs="Arial"/>
          <w:sz w:val="20"/>
          <w:szCs w:val="20"/>
          <w:lang w:val="en-US"/>
        </w:rPr>
        <w:t xml:space="preserve">Se </w:t>
      </w:r>
      <w:proofErr w:type="spellStart"/>
      <w:r w:rsidRPr="00A91732">
        <w:rPr>
          <w:rFonts w:cs="Arial"/>
          <w:sz w:val="20"/>
          <w:szCs w:val="20"/>
          <w:lang w:val="en-US"/>
        </w:rPr>
        <w:t>også</w:t>
      </w:r>
      <w:proofErr w:type="spellEnd"/>
      <w:r w:rsidRPr="00A91732">
        <w:rPr>
          <w:rFonts w:cs="Arial"/>
          <w:sz w:val="20"/>
          <w:szCs w:val="20"/>
          <w:lang w:val="en-US"/>
        </w:rPr>
        <w:t xml:space="preserve"> </w:t>
      </w:r>
      <w:proofErr w:type="spellStart"/>
      <w:r w:rsidRPr="00A91732">
        <w:rPr>
          <w:rFonts w:cs="Arial"/>
          <w:color w:val="000000" w:themeColor="text1"/>
          <w:sz w:val="20"/>
          <w:szCs w:val="20"/>
          <w:lang w:val="en-US"/>
        </w:rPr>
        <w:t>Btihaj</w:t>
      </w:r>
      <w:proofErr w:type="spellEnd"/>
      <w:r w:rsidRPr="00A91732">
        <w:rPr>
          <w:rFonts w:cs="Arial"/>
          <w:color w:val="000000" w:themeColor="text1"/>
          <w:sz w:val="20"/>
          <w:szCs w:val="20"/>
          <w:lang w:val="en-US"/>
        </w:rPr>
        <w:t xml:space="preserve"> </w:t>
      </w:r>
      <w:proofErr w:type="spellStart"/>
      <w:r w:rsidRPr="00A91732">
        <w:rPr>
          <w:rFonts w:cs="Arial"/>
          <w:color w:val="000000" w:themeColor="text1"/>
          <w:sz w:val="20"/>
          <w:szCs w:val="20"/>
          <w:lang w:val="en-US"/>
        </w:rPr>
        <w:t>Ajana</w:t>
      </w:r>
      <w:proofErr w:type="spellEnd"/>
      <w:r w:rsidRPr="00A91732">
        <w:rPr>
          <w:rFonts w:cs="Arial"/>
          <w:color w:val="000000" w:themeColor="text1"/>
          <w:sz w:val="20"/>
          <w:szCs w:val="20"/>
          <w:lang w:val="en-US"/>
        </w:rPr>
        <w:t xml:space="preserve">, “In </w:t>
      </w:r>
      <w:proofErr w:type="spellStart"/>
      <w:r w:rsidRPr="00A91732">
        <w:rPr>
          <w:rFonts w:cs="Arial"/>
          <w:color w:val="000000" w:themeColor="text1"/>
          <w:sz w:val="20"/>
          <w:szCs w:val="20"/>
          <w:lang w:val="en-US"/>
        </w:rPr>
        <w:t>Defence</w:t>
      </w:r>
      <w:proofErr w:type="spellEnd"/>
      <w:r w:rsidRPr="00A91732">
        <w:rPr>
          <w:rFonts w:cs="Arial"/>
          <w:color w:val="000000" w:themeColor="text1"/>
          <w:sz w:val="20"/>
          <w:szCs w:val="20"/>
          <w:lang w:val="en-US"/>
        </w:rPr>
        <w:t xml:space="preserve"> of </w:t>
      </w:r>
      <w:proofErr w:type="spellStart"/>
      <w:r w:rsidRPr="00A91732">
        <w:rPr>
          <w:rFonts w:cs="Arial"/>
          <w:color w:val="000000" w:themeColor="text1"/>
          <w:sz w:val="20"/>
          <w:szCs w:val="20"/>
          <w:lang w:val="en-US"/>
        </w:rPr>
        <w:t>Poststructural</w:t>
      </w:r>
      <w:proofErr w:type="spellEnd"/>
      <w:r w:rsidRPr="00A91732">
        <w:rPr>
          <w:rFonts w:cs="Arial"/>
          <w:color w:val="000000" w:themeColor="text1"/>
          <w:sz w:val="20"/>
          <w:szCs w:val="20"/>
          <w:lang w:val="en-US"/>
        </w:rPr>
        <w:t xml:space="preserve"> Ethics in Sociological Praxis”. </w:t>
      </w:r>
      <w:r w:rsidRPr="00A91732">
        <w:rPr>
          <w:rFonts w:cs="Arial"/>
          <w:i/>
          <w:color w:val="000000" w:themeColor="text1"/>
          <w:sz w:val="20"/>
          <w:szCs w:val="20"/>
          <w:lang w:val="en-US"/>
        </w:rPr>
        <w:t>Enquire</w:t>
      </w:r>
      <w:r w:rsidRPr="00A91732">
        <w:rPr>
          <w:rFonts w:cs="Arial"/>
          <w:color w:val="000000" w:themeColor="text1"/>
          <w:sz w:val="20"/>
          <w:szCs w:val="20"/>
          <w:lang w:val="en-US"/>
        </w:rPr>
        <w:t>, vol. 1, no. 1 (2008), 1-8.</w:t>
      </w:r>
    </w:p>
  </w:footnote>
  <w:footnote w:id="24">
    <w:p w14:paraId="2A172A5A" w14:textId="53682130" w:rsidR="000D1210" w:rsidRPr="00A91732" w:rsidRDefault="000D1210" w:rsidP="00A91732">
      <w:pPr>
        <w:pStyle w:val="Fodnotetekst"/>
        <w:contextualSpacing/>
        <w:rPr>
          <w:rFonts w:cs="Arial"/>
          <w:sz w:val="20"/>
          <w:szCs w:val="20"/>
          <w:lang w:val="en-US"/>
        </w:rPr>
      </w:pPr>
      <w:r w:rsidRPr="00A91732">
        <w:rPr>
          <w:rStyle w:val="Fodnotehenvisning"/>
          <w:sz w:val="20"/>
          <w:szCs w:val="20"/>
        </w:rPr>
        <w:footnoteRef/>
      </w:r>
      <w:r w:rsidRPr="00A91732">
        <w:rPr>
          <w:sz w:val="20"/>
          <w:szCs w:val="20"/>
          <w:lang w:val="en-US"/>
        </w:rPr>
        <w:t xml:space="preserve"> Jeffrey </w:t>
      </w:r>
      <w:proofErr w:type="spellStart"/>
      <w:r w:rsidRPr="00A91732">
        <w:rPr>
          <w:rFonts w:cs="Arial"/>
          <w:color w:val="000000" w:themeColor="text1"/>
          <w:sz w:val="20"/>
          <w:szCs w:val="20"/>
          <w:lang w:val="en-US"/>
        </w:rPr>
        <w:t>Popke</w:t>
      </w:r>
      <w:proofErr w:type="spellEnd"/>
      <w:r w:rsidRPr="00A91732">
        <w:rPr>
          <w:rFonts w:cs="Arial"/>
          <w:color w:val="000000" w:themeColor="text1"/>
          <w:sz w:val="20"/>
          <w:szCs w:val="20"/>
          <w:lang w:val="en-US"/>
        </w:rPr>
        <w:t xml:space="preserve">, “Poststructuralist ethics: subjectivity, responsibility and the space of community”. </w:t>
      </w:r>
      <w:r w:rsidRPr="00A91732">
        <w:rPr>
          <w:rFonts w:cs="Arial"/>
          <w:i/>
          <w:iCs/>
          <w:color w:val="000000" w:themeColor="text1"/>
          <w:sz w:val="20"/>
          <w:szCs w:val="20"/>
          <w:lang w:val="en-US"/>
        </w:rPr>
        <w:t>Progress in Human Geography</w:t>
      </w:r>
      <w:r w:rsidRPr="00A91732">
        <w:rPr>
          <w:rFonts w:cs="Arial"/>
          <w:color w:val="000000" w:themeColor="text1"/>
          <w:sz w:val="20"/>
          <w:szCs w:val="20"/>
          <w:lang w:val="en-US"/>
        </w:rPr>
        <w:t>, vol. 27, no. 3 (2003), 298-316.</w:t>
      </w:r>
    </w:p>
  </w:footnote>
  <w:footnote w:id="25">
    <w:p w14:paraId="798BEA3E" w14:textId="6E00B24D" w:rsidR="00FD3468" w:rsidRPr="00A91732" w:rsidRDefault="000D1210" w:rsidP="00A91732">
      <w:pPr>
        <w:pStyle w:val="Fodnotetekst"/>
        <w:contextualSpacing/>
        <w:rPr>
          <w:rFonts w:cs="Aparajita"/>
          <w:color w:val="000000" w:themeColor="text1"/>
          <w:sz w:val="20"/>
          <w:szCs w:val="20"/>
          <w:lang w:val="en-US"/>
        </w:rPr>
      </w:pPr>
      <w:r w:rsidRPr="00A91732">
        <w:rPr>
          <w:rStyle w:val="Fodnotehenvisning"/>
          <w:sz w:val="20"/>
          <w:szCs w:val="20"/>
        </w:rPr>
        <w:footnoteRef/>
      </w:r>
      <w:r w:rsidRPr="00A91732">
        <w:rPr>
          <w:sz w:val="20"/>
          <w:szCs w:val="20"/>
          <w:lang w:val="en-US"/>
        </w:rPr>
        <w:t xml:space="preserve"> </w:t>
      </w:r>
      <w:proofErr w:type="spellStart"/>
      <w:r w:rsidRPr="00A91732">
        <w:rPr>
          <w:rFonts w:cs="Arial"/>
          <w:sz w:val="20"/>
          <w:szCs w:val="20"/>
          <w:lang w:val="en-US"/>
        </w:rPr>
        <w:t>Marilys</w:t>
      </w:r>
      <w:proofErr w:type="spellEnd"/>
      <w:r w:rsidRPr="00A91732">
        <w:rPr>
          <w:rFonts w:cs="Arial"/>
          <w:sz w:val="20"/>
          <w:szCs w:val="20"/>
          <w:lang w:val="en-US"/>
        </w:rPr>
        <w:t xml:space="preserve"> Guillemin &amp; Lynn Gillam</w:t>
      </w:r>
      <w:r w:rsidRPr="00A91732">
        <w:rPr>
          <w:rFonts w:cs="Arial"/>
          <w:color w:val="000000" w:themeColor="text1"/>
          <w:sz w:val="20"/>
          <w:szCs w:val="20"/>
          <w:lang w:val="en-US"/>
        </w:rPr>
        <w:t>,</w:t>
      </w:r>
      <w:r w:rsidRPr="00A91732">
        <w:rPr>
          <w:color w:val="000000" w:themeColor="text1"/>
          <w:sz w:val="20"/>
          <w:szCs w:val="20"/>
          <w:lang w:val="en-US"/>
        </w:rPr>
        <w:t xml:space="preserve"> “</w:t>
      </w:r>
      <w:r w:rsidR="00FD3468" w:rsidRPr="00A91732">
        <w:rPr>
          <w:rFonts w:cs="Aparajita"/>
          <w:color w:val="000000" w:themeColor="text1"/>
          <w:sz w:val="20"/>
          <w:szCs w:val="20"/>
          <w:lang w:val="en-US"/>
        </w:rPr>
        <w:t>Ethics, Reflexivity, and ‘</w:t>
      </w:r>
      <w:r w:rsidRPr="00A91732">
        <w:rPr>
          <w:rFonts w:cs="Aparajita"/>
          <w:color w:val="000000" w:themeColor="text1"/>
          <w:sz w:val="20"/>
          <w:szCs w:val="20"/>
          <w:lang w:val="en-US"/>
        </w:rPr>
        <w:t>Ethical</w:t>
      </w:r>
      <w:r w:rsidR="00FD3468" w:rsidRPr="00A91732">
        <w:rPr>
          <w:rFonts w:cs="Aparajita"/>
          <w:color w:val="000000" w:themeColor="text1"/>
          <w:sz w:val="20"/>
          <w:szCs w:val="20"/>
          <w:lang w:val="en-US"/>
        </w:rPr>
        <w:t>ly Important Moments’”</w:t>
      </w:r>
      <w:r w:rsidRPr="00A91732">
        <w:rPr>
          <w:rFonts w:cs="Aparajita"/>
          <w:color w:val="000000" w:themeColor="text1"/>
          <w:sz w:val="20"/>
          <w:szCs w:val="20"/>
          <w:lang w:val="en-US"/>
        </w:rPr>
        <w:t xml:space="preserve">. </w:t>
      </w:r>
      <w:r w:rsidRPr="00A91732">
        <w:rPr>
          <w:rFonts w:cs="Aparajita"/>
          <w:i/>
          <w:color w:val="000000" w:themeColor="text1"/>
          <w:sz w:val="20"/>
          <w:szCs w:val="20"/>
          <w:lang w:val="en-US"/>
        </w:rPr>
        <w:t>Research Qualitative Inquiry</w:t>
      </w:r>
      <w:r w:rsidRPr="00A91732">
        <w:rPr>
          <w:rFonts w:cs="Aparajita"/>
          <w:color w:val="000000" w:themeColor="text1"/>
          <w:sz w:val="20"/>
          <w:szCs w:val="20"/>
          <w:lang w:val="en-US"/>
        </w:rPr>
        <w:t>, vol. 10, no. 2 (2004), 261-280.</w:t>
      </w:r>
    </w:p>
  </w:footnote>
  <w:footnote w:id="26">
    <w:p w14:paraId="4EF57551" w14:textId="2B10FF60" w:rsidR="000D1210" w:rsidRPr="00A91732" w:rsidRDefault="000D1210" w:rsidP="00A91732">
      <w:pPr>
        <w:pStyle w:val="Fodnotetekst"/>
        <w:contextualSpacing/>
        <w:rPr>
          <w:rFonts w:cs="Aparajita"/>
          <w:sz w:val="20"/>
          <w:szCs w:val="20"/>
          <w:lang w:val="en-US"/>
        </w:rPr>
      </w:pPr>
      <w:r w:rsidRPr="00A91732">
        <w:rPr>
          <w:rStyle w:val="Fodnotehenvisning"/>
          <w:sz w:val="20"/>
          <w:szCs w:val="20"/>
        </w:rPr>
        <w:footnoteRef/>
      </w:r>
      <w:r w:rsidRPr="00A91732">
        <w:rPr>
          <w:sz w:val="20"/>
          <w:szCs w:val="20"/>
          <w:lang w:val="en-US"/>
        </w:rPr>
        <w:t xml:space="preserve"> </w:t>
      </w:r>
      <w:proofErr w:type="spellStart"/>
      <w:r w:rsidRPr="00A91732">
        <w:rPr>
          <w:rFonts w:cs="Aparajita"/>
          <w:color w:val="000000" w:themeColor="text1"/>
          <w:sz w:val="20"/>
          <w:szCs w:val="20"/>
          <w:lang w:val="en-US"/>
        </w:rPr>
        <w:t>Sabi</w:t>
      </w:r>
      <w:proofErr w:type="spellEnd"/>
      <w:r w:rsidRPr="00A91732">
        <w:rPr>
          <w:rFonts w:cs="Aparajita"/>
          <w:color w:val="000000" w:themeColor="text1"/>
          <w:sz w:val="20"/>
          <w:szCs w:val="20"/>
          <w:lang w:val="en-US"/>
        </w:rPr>
        <w:t xml:space="preserve"> Redwood, “</w:t>
      </w:r>
      <w:r w:rsidRPr="00A91732">
        <w:rPr>
          <w:color w:val="000000" w:themeColor="text1"/>
          <w:sz w:val="20"/>
          <w:szCs w:val="20"/>
          <w:lang w:val="en-US"/>
        </w:rPr>
        <w:t xml:space="preserve">Colliding discourses: deconstructing the process of seeking ethical approval for a participatory evaluation project”. </w:t>
      </w:r>
      <w:r w:rsidRPr="00A91732">
        <w:rPr>
          <w:rFonts w:cs="Aparajita"/>
          <w:i/>
          <w:color w:val="000000" w:themeColor="text1"/>
          <w:sz w:val="20"/>
          <w:szCs w:val="20"/>
          <w:lang w:val="en-US"/>
        </w:rPr>
        <w:t>Journal of Research in Nursing</w:t>
      </w:r>
      <w:r w:rsidRPr="00A91732">
        <w:rPr>
          <w:rFonts w:cs="Aparajita"/>
          <w:color w:val="000000" w:themeColor="text1"/>
          <w:sz w:val="20"/>
          <w:szCs w:val="20"/>
          <w:lang w:val="en-US"/>
        </w:rPr>
        <w:t>, vol. 10, no. 2 (2005), 217-230.</w:t>
      </w:r>
    </w:p>
  </w:footnote>
  <w:footnote w:id="27">
    <w:p w14:paraId="17EB675F" w14:textId="2090E74F" w:rsidR="000D1210" w:rsidRPr="00A91732" w:rsidRDefault="000D1210" w:rsidP="00A91732">
      <w:pPr>
        <w:pStyle w:val="Fodnotetekst"/>
        <w:contextualSpacing/>
        <w:rPr>
          <w:rFonts w:cstheme="minorHAnsi"/>
          <w:sz w:val="20"/>
          <w:szCs w:val="20"/>
          <w:lang w:val="en-US"/>
        </w:rPr>
      </w:pPr>
      <w:r w:rsidRPr="00A91732">
        <w:rPr>
          <w:rStyle w:val="Fodnotehenvisning"/>
          <w:sz w:val="20"/>
          <w:szCs w:val="20"/>
        </w:rPr>
        <w:footnoteRef/>
      </w:r>
      <w:r w:rsidRPr="00A91732">
        <w:rPr>
          <w:sz w:val="20"/>
          <w:szCs w:val="20"/>
          <w:lang w:val="en-US"/>
        </w:rPr>
        <w:t xml:space="preserve"> </w:t>
      </w:r>
      <w:proofErr w:type="spellStart"/>
      <w:r w:rsidRPr="00A91732">
        <w:rPr>
          <w:sz w:val="20"/>
          <w:szCs w:val="20"/>
          <w:lang w:val="en-US"/>
        </w:rPr>
        <w:t>Sabi</w:t>
      </w:r>
      <w:proofErr w:type="spellEnd"/>
      <w:r w:rsidRPr="00A91732">
        <w:rPr>
          <w:sz w:val="20"/>
          <w:szCs w:val="20"/>
          <w:lang w:val="en-US"/>
        </w:rPr>
        <w:t xml:space="preserve"> </w:t>
      </w:r>
      <w:r w:rsidRPr="00A91732">
        <w:rPr>
          <w:rFonts w:cstheme="minorHAnsi"/>
          <w:sz w:val="20"/>
          <w:szCs w:val="20"/>
          <w:lang w:val="en-US"/>
        </w:rPr>
        <w:t>Redwood</w:t>
      </w:r>
      <w:r w:rsidRPr="00A91732">
        <w:rPr>
          <w:rFonts w:cs="Aparajita"/>
          <w:color w:val="000000" w:themeColor="text1"/>
          <w:sz w:val="20"/>
          <w:szCs w:val="20"/>
          <w:lang w:val="en-US"/>
        </w:rPr>
        <w:t xml:space="preserve"> &amp; Les </w:t>
      </w:r>
      <w:proofErr w:type="spellStart"/>
      <w:r w:rsidRPr="00A91732">
        <w:rPr>
          <w:rFonts w:cs="Aparajita"/>
          <w:color w:val="000000" w:themeColor="text1"/>
          <w:sz w:val="20"/>
          <w:szCs w:val="20"/>
          <w:lang w:val="en-US"/>
        </w:rPr>
        <w:t>Todres</w:t>
      </w:r>
      <w:proofErr w:type="spellEnd"/>
      <w:r w:rsidRPr="00A91732">
        <w:rPr>
          <w:rFonts w:cs="Aparajita"/>
          <w:color w:val="000000" w:themeColor="text1"/>
          <w:sz w:val="20"/>
          <w:szCs w:val="20"/>
          <w:lang w:val="en-US"/>
        </w:rPr>
        <w:t xml:space="preserve">, “Exploring the Ethical Imagination: Conversation as Practice Versus Committee as Gatekeeper”. </w:t>
      </w:r>
      <w:r w:rsidRPr="00A91732">
        <w:rPr>
          <w:rFonts w:cs="Aparajita"/>
          <w:i/>
          <w:color w:val="000000" w:themeColor="text1"/>
          <w:sz w:val="20"/>
          <w:szCs w:val="20"/>
          <w:lang w:val="en-US"/>
        </w:rPr>
        <w:t>Forum: Qualitative Social Research</w:t>
      </w:r>
      <w:r w:rsidRPr="00A91732">
        <w:rPr>
          <w:rFonts w:cs="Aparajita"/>
          <w:color w:val="000000" w:themeColor="text1"/>
          <w:sz w:val="20"/>
          <w:szCs w:val="20"/>
          <w:lang w:val="en-US"/>
        </w:rPr>
        <w:t>, vol. 7, no. 2 (2006), 1-11.</w:t>
      </w:r>
    </w:p>
  </w:footnote>
  <w:footnote w:id="28">
    <w:p w14:paraId="3F3968FC" w14:textId="31F1DC8C" w:rsidR="008C5557" w:rsidRPr="000F49E1" w:rsidRDefault="000D1210" w:rsidP="00A91732">
      <w:pPr>
        <w:pStyle w:val="Fodnotetekst"/>
        <w:contextualSpacing/>
        <w:rPr>
          <w:iCs/>
          <w:color w:val="000000" w:themeColor="text1"/>
          <w:sz w:val="20"/>
          <w:szCs w:val="20"/>
          <w:lang w:val="en-US"/>
        </w:rPr>
      </w:pPr>
      <w:r w:rsidRPr="000F49E1">
        <w:rPr>
          <w:rStyle w:val="Fodnotehenvisning"/>
          <w:sz w:val="20"/>
          <w:szCs w:val="20"/>
        </w:rPr>
        <w:footnoteRef/>
      </w:r>
      <w:r w:rsidRPr="000F49E1">
        <w:rPr>
          <w:sz w:val="20"/>
          <w:szCs w:val="20"/>
          <w:lang w:val="en-US"/>
        </w:rPr>
        <w:t xml:space="preserve"> </w:t>
      </w:r>
      <w:r w:rsidR="000F49E1" w:rsidRPr="000F49E1">
        <w:rPr>
          <w:sz w:val="20"/>
          <w:szCs w:val="20"/>
          <w:lang w:val="en-US"/>
        </w:rPr>
        <w:t xml:space="preserve">Thomas </w:t>
      </w:r>
      <w:r w:rsidR="000F49E1" w:rsidRPr="000F49E1">
        <w:rPr>
          <w:color w:val="000000" w:themeColor="text1"/>
          <w:sz w:val="20"/>
          <w:szCs w:val="20"/>
          <w:lang w:val="en-US"/>
        </w:rPr>
        <w:t>Schwandt,</w:t>
      </w:r>
      <w:r w:rsidRPr="000F49E1">
        <w:rPr>
          <w:color w:val="000000" w:themeColor="text1"/>
          <w:sz w:val="20"/>
          <w:szCs w:val="20"/>
          <w:lang w:val="en-US"/>
        </w:rPr>
        <w:t xml:space="preserve"> </w:t>
      </w:r>
      <w:r w:rsidR="00FD4745" w:rsidRPr="000F49E1">
        <w:rPr>
          <w:color w:val="000000" w:themeColor="text1"/>
          <w:sz w:val="20"/>
          <w:szCs w:val="20"/>
          <w:lang w:val="en-US"/>
        </w:rPr>
        <w:t>“</w:t>
      </w:r>
      <w:r w:rsidRPr="000F49E1">
        <w:rPr>
          <w:color w:val="000000" w:themeColor="text1"/>
          <w:sz w:val="20"/>
          <w:szCs w:val="20"/>
          <w:lang w:val="en-US"/>
        </w:rPr>
        <w:t>The pressing need for ethical education: A commentary on the growing IRB controversy</w:t>
      </w:r>
      <w:r w:rsidR="00FD4745" w:rsidRPr="000F49E1">
        <w:rPr>
          <w:color w:val="000000" w:themeColor="text1"/>
          <w:sz w:val="20"/>
          <w:szCs w:val="20"/>
          <w:lang w:val="en-US"/>
        </w:rPr>
        <w:t>”</w:t>
      </w:r>
      <w:r w:rsidR="000F49E1" w:rsidRPr="000F49E1">
        <w:rPr>
          <w:color w:val="000000" w:themeColor="text1"/>
          <w:sz w:val="20"/>
          <w:szCs w:val="20"/>
          <w:lang w:val="en-US"/>
        </w:rPr>
        <w:t xml:space="preserve"> in:</w:t>
      </w:r>
      <w:r w:rsidRPr="000F49E1">
        <w:rPr>
          <w:color w:val="000000" w:themeColor="text1"/>
          <w:sz w:val="20"/>
          <w:szCs w:val="20"/>
          <w:lang w:val="en-US"/>
        </w:rPr>
        <w:t xml:space="preserve"> </w:t>
      </w:r>
      <w:r w:rsidR="000F49E1" w:rsidRPr="000F49E1">
        <w:rPr>
          <w:rFonts w:cs="Aparajita"/>
          <w:color w:val="000000" w:themeColor="text1"/>
          <w:sz w:val="20"/>
          <w:szCs w:val="20"/>
          <w:lang w:val="en-US"/>
        </w:rPr>
        <w:t xml:space="preserve">Norman Denzin &amp; Michael </w:t>
      </w:r>
      <w:proofErr w:type="spellStart"/>
      <w:r w:rsidR="000F49E1" w:rsidRPr="000F49E1">
        <w:rPr>
          <w:rFonts w:cs="Aparajita"/>
          <w:color w:val="000000" w:themeColor="text1"/>
          <w:sz w:val="20"/>
          <w:szCs w:val="20"/>
          <w:lang w:val="en-US"/>
        </w:rPr>
        <w:t>Giardina</w:t>
      </w:r>
      <w:proofErr w:type="spellEnd"/>
      <w:r w:rsidR="000F49E1" w:rsidRPr="000F49E1">
        <w:rPr>
          <w:rFonts w:cs="Aparajita"/>
          <w:color w:val="000000" w:themeColor="text1"/>
          <w:sz w:val="20"/>
          <w:szCs w:val="20"/>
          <w:lang w:val="en-US"/>
        </w:rPr>
        <w:t xml:space="preserve">, </w:t>
      </w:r>
      <w:r w:rsidR="000F49E1" w:rsidRPr="000F49E1">
        <w:rPr>
          <w:rFonts w:cs="Aparajita"/>
          <w:i/>
          <w:color w:val="000000" w:themeColor="text1"/>
          <w:sz w:val="20"/>
          <w:szCs w:val="20"/>
          <w:lang w:val="en-US"/>
        </w:rPr>
        <w:t>Decolonizing and politics of knowledge: Ethical futures in qualitative research</w:t>
      </w:r>
      <w:r w:rsidR="000F49E1" w:rsidRPr="000F49E1">
        <w:rPr>
          <w:rFonts w:cs="Aparajita"/>
          <w:color w:val="000000" w:themeColor="text1"/>
          <w:sz w:val="20"/>
          <w:szCs w:val="20"/>
          <w:lang w:val="en-US"/>
        </w:rPr>
        <w:t xml:space="preserve"> (</w:t>
      </w:r>
      <w:r w:rsidR="000F49E1" w:rsidRPr="000F49E1">
        <w:rPr>
          <w:iCs/>
          <w:color w:val="000000" w:themeColor="text1"/>
          <w:sz w:val="20"/>
          <w:szCs w:val="20"/>
          <w:lang w:val="en-US"/>
        </w:rPr>
        <w:t>W</w:t>
      </w:r>
      <w:r w:rsidR="000F49E1" w:rsidRPr="000F49E1">
        <w:rPr>
          <w:color w:val="000000" w:themeColor="text1"/>
          <w:sz w:val="20"/>
          <w:szCs w:val="20"/>
          <w:lang w:val="en-US"/>
        </w:rPr>
        <w:t>alnut Creek</w:t>
      </w:r>
      <w:r w:rsidR="000F49E1" w:rsidRPr="000F49E1">
        <w:rPr>
          <w:rFonts w:cs="Aparajita"/>
          <w:color w:val="000000" w:themeColor="text1"/>
          <w:sz w:val="20"/>
          <w:szCs w:val="20"/>
          <w:lang w:val="en-US"/>
        </w:rPr>
        <w:t xml:space="preserve">, CA: Left Coast Press, 2007), </w:t>
      </w:r>
      <w:r w:rsidRPr="000F49E1">
        <w:rPr>
          <w:iCs/>
          <w:color w:val="000000" w:themeColor="text1"/>
          <w:sz w:val="20"/>
          <w:szCs w:val="20"/>
          <w:lang w:val="en-US"/>
        </w:rPr>
        <w:t>67-84.</w:t>
      </w:r>
    </w:p>
  </w:footnote>
  <w:footnote w:id="29">
    <w:p w14:paraId="1E435B01" w14:textId="3E87AA02" w:rsidR="006B1EAC" w:rsidRPr="00A91732" w:rsidRDefault="000D1210" w:rsidP="00A91732">
      <w:pPr>
        <w:pStyle w:val="Fodnotetekst"/>
        <w:contextualSpacing/>
        <w:rPr>
          <w:rFonts w:cs="Aparajita"/>
          <w:sz w:val="20"/>
          <w:szCs w:val="20"/>
          <w:lang w:val="en-US"/>
        </w:rPr>
      </w:pPr>
      <w:r w:rsidRPr="00A91732">
        <w:rPr>
          <w:rStyle w:val="Fodnotehenvisning"/>
          <w:sz w:val="20"/>
          <w:szCs w:val="20"/>
        </w:rPr>
        <w:footnoteRef/>
      </w:r>
      <w:r w:rsidRPr="00A91732">
        <w:rPr>
          <w:sz w:val="20"/>
          <w:szCs w:val="20"/>
          <w:lang w:val="en-US"/>
        </w:rPr>
        <w:t xml:space="preserve"> </w:t>
      </w:r>
      <w:r w:rsidR="006B1EAC" w:rsidRPr="00A91732">
        <w:rPr>
          <w:rFonts w:cs="Aparajita"/>
          <w:color w:val="000000" w:themeColor="text1"/>
          <w:sz w:val="20"/>
          <w:szCs w:val="20"/>
          <w:lang w:val="en-US"/>
        </w:rPr>
        <w:t xml:space="preserve">Morten </w:t>
      </w:r>
      <w:proofErr w:type="spellStart"/>
      <w:r w:rsidR="006B1EAC" w:rsidRPr="00A91732">
        <w:rPr>
          <w:rFonts w:cs="Aparajita"/>
          <w:color w:val="000000" w:themeColor="text1"/>
          <w:sz w:val="20"/>
          <w:szCs w:val="20"/>
          <w:lang w:val="en-US"/>
        </w:rPr>
        <w:t>Skovdal</w:t>
      </w:r>
      <w:proofErr w:type="spellEnd"/>
      <w:r w:rsidR="005C73DA" w:rsidRPr="00A91732">
        <w:rPr>
          <w:rFonts w:cs="Aparajita"/>
          <w:color w:val="000000" w:themeColor="text1"/>
          <w:sz w:val="20"/>
          <w:szCs w:val="20"/>
          <w:lang w:val="en-US"/>
        </w:rPr>
        <w:t xml:space="preserve"> &amp; </w:t>
      </w:r>
      <w:proofErr w:type="spellStart"/>
      <w:r w:rsidR="006B1EAC" w:rsidRPr="00A91732">
        <w:rPr>
          <w:rFonts w:cs="Aparajita"/>
          <w:color w:val="000000" w:themeColor="text1"/>
          <w:sz w:val="20"/>
          <w:szCs w:val="20"/>
          <w:lang w:val="en-US"/>
        </w:rPr>
        <w:t>Tatek</w:t>
      </w:r>
      <w:proofErr w:type="spellEnd"/>
      <w:r w:rsidR="006B1EAC" w:rsidRPr="00A91732">
        <w:rPr>
          <w:rFonts w:cs="Aparajita"/>
          <w:color w:val="000000" w:themeColor="text1"/>
          <w:sz w:val="20"/>
          <w:szCs w:val="20"/>
          <w:lang w:val="en-US"/>
        </w:rPr>
        <w:t xml:space="preserve"> </w:t>
      </w:r>
      <w:proofErr w:type="spellStart"/>
      <w:r w:rsidR="005C73DA" w:rsidRPr="00A91732">
        <w:rPr>
          <w:rFonts w:cs="Aparajita"/>
          <w:color w:val="000000" w:themeColor="text1"/>
          <w:sz w:val="20"/>
          <w:szCs w:val="20"/>
          <w:lang w:val="en-US"/>
        </w:rPr>
        <w:t>Abebe</w:t>
      </w:r>
      <w:proofErr w:type="spellEnd"/>
      <w:r w:rsidR="005C73DA" w:rsidRPr="00A91732">
        <w:rPr>
          <w:rFonts w:cs="Aparajita"/>
          <w:color w:val="000000" w:themeColor="text1"/>
          <w:sz w:val="20"/>
          <w:szCs w:val="20"/>
          <w:lang w:val="en-US"/>
        </w:rPr>
        <w:t xml:space="preserve">, “Reflexivity and Dialogue: Methodological and Socio-Ethical Dilemmas in Research with HIV-Affected Children in East Africa”. </w:t>
      </w:r>
      <w:r w:rsidR="005C73DA" w:rsidRPr="00A91732">
        <w:rPr>
          <w:rFonts w:cs="Aparajita"/>
          <w:i/>
          <w:color w:val="000000" w:themeColor="text1"/>
          <w:sz w:val="20"/>
          <w:szCs w:val="20"/>
          <w:lang w:val="en-US"/>
        </w:rPr>
        <w:t>Ethics, Policy &amp; Environment</w:t>
      </w:r>
      <w:r w:rsidR="005C73DA" w:rsidRPr="00A91732">
        <w:rPr>
          <w:rFonts w:cs="Aparajita"/>
          <w:color w:val="000000" w:themeColor="text1"/>
          <w:sz w:val="20"/>
          <w:szCs w:val="20"/>
          <w:lang w:val="en-US"/>
        </w:rPr>
        <w:t xml:space="preserve">, </w:t>
      </w:r>
      <w:r w:rsidR="006B1EAC" w:rsidRPr="00A91732">
        <w:rPr>
          <w:rFonts w:cs="Aparajita"/>
          <w:color w:val="000000" w:themeColor="text1"/>
          <w:sz w:val="20"/>
          <w:szCs w:val="20"/>
          <w:lang w:val="en-US"/>
        </w:rPr>
        <w:t xml:space="preserve">vol. </w:t>
      </w:r>
      <w:r w:rsidR="005C73DA" w:rsidRPr="00A91732">
        <w:rPr>
          <w:rFonts w:cs="Aparajita"/>
          <w:color w:val="000000" w:themeColor="text1"/>
          <w:sz w:val="20"/>
          <w:szCs w:val="20"/>
          <w:lang w:val="en-US"/>
        </w:rPr>
        <w:t>15</w:t>
      </w:r>
      <w:r w:rsidR="006B1EAC" w:rsidRPr="00A91732">
        <w:rPr>
          <w:rFonts w:cs="Aparajita"/>
          <w:color w:val="000000" w:themeColor="text1"/>
          <w:sz w:val="20"/>
          <w:szCs w:val="20"/>
          <w:lang w:val="en-US"/>
        </w:rPr>
        <w:t>,</w:t>
      </w:r>
      <w:r w:rsidR="005C73DA" w:rsidRPr="00A91732">
        <w:rPr>
          <w:rFonts w:cs="Aparajita"/>
          <w:color w:val="000000" w:themeColor="text1"/>
          <w:sz w:val="20"/>
          <w:szCs w:val="20"/>
          <w:lang w:val="en-US"/>
        </w:rPr>
        <w:t xml:space="preserve"> no. 1 (2012), 77-96.</w:t>
      </w:r>
    </w:p>
  </w:footnote>
  <w:footnote w:id="30">
    <w:p w14:paraId="6D35EFDE" w14:textId="355A0948" w:rsidR="006B1EAC" w:rsidRPr="00A91732" w:rsidRDefault="000D1210" w:rsidP="00A91732">
      <w:pPr>
        <w:pStyle w:val="Fodnotetekst"/>
        <w:contextualSpacing/>
        <w:rPr>
          <w:rFonts w:cs="Aparajita"/>
          <w:sz w:val="20"/>
          <w:szCs w:val="20"/>
          <w:lang w:val="en-US"/>
        </w:rPr>
      </w:pPr>
      <w:r w:rsidRPr="00A91732">
        <w:rPr>
          <w:rStyle w:val="Fodnotehenvisning"/>
          <w:sz w:val="20"/>
          <w:szCs w:val="20"/>
        </w:rPr>
        <w:footnoteRef/>
      </w:r>
      <w:r w:rsidRPr="00A91732">
        <w:rPr>
          <w:sz w:val="20"/>
          <w:szCs w:val="20"/>
          <w:lang w:val="en-US"/>
        </w:rPr>
        <w:t xml:space="preserve"> </w:t>
      </w:r>
      <w:r w:rsidR="006B1EAC" w:rsidRPr="00A91732">
        <w:rPr>
          <w:rFonts w:cs="Aparajita"/>
          <w:color w:val="000000" w:themeColor="text1"/>
          <w:sz w:val="20"/>
          <w:szCs w:val="20"/>
          <w:lang w:val="en-US"/>
        </w:rPr>
        <w:t xml:space="preserve">Peter </w:t>
      </w:r>
      <w:proofErr w:type="spellStart"/>
      <w:r w:rsidR="006B1EAC" w:rsidRPr="00A91732">
        <w:rPr>
          <w:rFonts w:cs="Aparajita"/>
          <w:color w:val="000000" w:themeColor="text1"/>
          <w:sz w:val="20"/>
          <w:szCs w:val="20"/>
          <w:lang w:val="en-US"/>
        </w:rPr>
        <w:t>Pels</w:t>
      </w:r>
      <w:proofErr w:type="spellEnd"/>
      <w:r w:rsidR="006B1EAC" w:rsidRPr="00A91732">
        <w:rPr>
          <w:rFonts w:cs="Aparajita"/>
          <w:color w:val="000000" w:themeColor="text1"/>
          <w:sz w:val="20"/>
          <w:szCs w:val="20"/>
          <w:lang w:val="en-US"/>
        </w:rPr>
        <w:t xml:space="preserve">, “Professions of </w:t>
      </w:r>
      <w:proofErr w:type="spellStart"/>
      <w:r w:rsidR="006B1EAC" w:rsidRPr="00A91732">
        <w:rPr>
          <w:rFonts w:cs="Aparajita"/>
          <w:color w:val="000000" w:themeColor="text1"/>
          <w:sz w:val="20"/>
          <w:szCs w:val="20"/>
          <w:lang w:val="en-US"/>
        </w:rPr>
        <w:t>Duplexity</w:t>
      </w:r>
      <w:proofErr w:type="spellEnd"/>
      <w:r w:rsidR="006B1EAC" w:rsidRPr="00A91732">
        <w:rPr>
          <w:rFonts w:cs="Aparajita"/>
          <w:color w:val="000000" w:themeColor="text1"/>
          <w:sz w:val="20"/>
          <w:szCs w:val="20"/>
          <w:lang w:val="en-US"/>
        </w:rPr>
        <w:t xml:space="preserve">: A Prehistory of Ethical Codes in Anthropology”. </w:t>
      </w:r>
      <w:r w:rsidR="006B1EAC" w:rsidRPr="00A91732">
        <w:rPr>
          <w:rFonts w:cs="Aparajita"/>
          <w:i/>
          <w:color w:val="000000" w:themeColor="text1"/>
          <w:sz w:val="20"/>
          <w:szCs w:val="20"/>
          <w:lang w:val="en-US"/>
        </w:rPr>
        <w:t>Current Anthropology</w:t>
      </w:r>
      <w:r w:rsidR="006B1EAC" w:rsidRPr="00A91732">
        <w:rPr>
          <w:rFonts w:cs="Aparajita"/>
          <w:color w:val="000000" w:themeColor="text1"/>
          <w:sz w:val="20"/>
          <w:szCs w:val="20"/>
          <w:lang w:val="en-US"/>
        </w:rPr>
        <w:t>, vol. 40, no. 2 (1999), 114.</w:t>
      </w:r>
    </w:p>
  </w:footnote>
  <w:footnote w:id="31">
    <w:p w14:paraId="609B444D" w14:textId="46698E84" w:rsidR="003C62C3" w:rsidRPr="000735B9" w:rsidRDefault="000D1210" w:rsidP="00A91732">
      <w:pPr>
        <w:pStyle w:val="Fodnotetekst"/>
        <w:contextualSpacing/>
        <w:rPr>
          <w:rFonts w:cs="Aparajita"/>
          <w:color w:val="000000" w:themeColor="text1"/>
          <w:sz w:val="20"/>
          <w:szCs w:val="20"/>
        </w:rPr>
      </w:pPr>
      <w:r w:rsidRPr="003C62C3">
        <w:rPr>
          <w:rStyle w:val="Fodnotehenvisning"/>
          <w:sz w:val="20"/>
          <w:szCs w:val="20"/>
        </w:rPr>
        <w:footnoteRef/>
      </w:r>
      <w:r w:rsidRPr="003C62C3">
        <w:rPr>
          <w:sz w:val="20"/>
          <w:szCs w:val="20"/>
          <w:lang w:val="en-US"/>
        </w:rPr>
        <w:t xml:space="preserve"> </w:t>
      </w:r>
      <w:r w:rsidR="006B1EAC" w:rsidRPr="003C62C3">
        <w:rPr>
          <w:sz w:val="20"/>
          <w:szCs w:val="20"/>
          <w:lang w:val="en-US"/>
        </w:rPr>
        <w:t xml:space="preserve">Lynn </w:t>
      </w:r>
      <w:proofErr w:type="spellStart"/>
      <w:r w:rsidR="006B1EAC" w:rsidRPr="003C62C3">
        <w:rPr>
          <w:rFonts w:cs="Aparajita"/>
          <w:color w:val="000000" w:themeColor="text1"/>
          <w:sz w:val="20"/>
          <w:szCs w:val="20"/>
          <w:lang w:val="en-US"/>
        </w:rPr>
        <w:t>Meskell</w:t>
      </w:r>
      <w:proofErr w:type="spellEnd"/>
      <w:r w:rsidR="006B1EAC" w:rsidRPr="003C62C3">
        <w:rPr>
          <w:rFonts w:cs="Aparajita"/>
          <w:color w:val="000000" w:themeColor="text1"/>
          <w:sz w:val="20"/>
          <w:szCs w:val="20"/>
          <w:lang w:val="en-US"/>
        </w:rPr>
        <w:t xml:space="preserve"> &amp; Peter </w:t>
      </w:r>
      <w:proofErr w:type="spellStart"/>
      <w:r w:rsidR="006B1EAC" w:rsidRPr="003C62C3">
        <w:rPr>
          <w:rFonts w:cs="Aparajita"/>
          <w:color w:val="000000" w:themeColor="text1"/>
          <w:sz w:val="20"/>
          <w:szCs w:val="20"/>
          <w:lang w:val="en-US"/>
        </w:rPr>
        <w:t>Pels</w:t>
      </w:r>
      <w:proofErr w:type="spellEnd"/>
      <w:r w:rsidR="006B1EAC" w:rsidRPr="003C62C3">
        <w:rPr>
          <w:rFonts w:cs="Aparajita"/>
          <w:color w:val="000000" w:themeColor="text1"/>
          <w:sz w:val="20"/>
          <w:szCs w:val="20"/>
          <w:lang w:val="en-US"/>
        </w:rPr>
        <w:t xml:space="preserve">, </w:t>
      </w:r>
      <w:r w:rsidR="006B1EAC" w:rsidRPr="003C62C3">
        <w:rPr>
          <w:rFonts w:cs="Aparajita"/>
          <w:i/>
          <w:color w:val="000000" w:themeColor="text1"/>
          <w:sz w:val="20"/>
          <w:szCs w:val="20"/>
          <w:lang w:val="en-US"/>
        </w:rPr>
        <w:t>Embedding Ethics: shifting boundaries of the anthropological profession</w:t>
      </w:r>
      <w:r w:rsidR="006B1EAC" w:rsidRPr="003C62C3">
        <w:rPr>
          <w:rFonts w:cs="Aparajita"/>
          <w:color w:val="000000" w:themeColor="text1"/>
          <w:sz w:val="20"/>
          <w:szCs w:val="20"/>
          <w:lang w:val="en-US"/>
        </w:rPr>
        <w:t xml:space="preserve">. </w:t>
      </w:r>
      <w:r w:rsidR="006B1EAC" w:rsidRPr="003C62C3">
        <w:rPr>
          <w:rFonts w:cs="Aparajita"/>
          <w:color w:val="000000" w:themeColor="text1"/>
          <w:sz w:val="20"/>
          <w:szCs w:val="20"/>
        </w:rPr>
        <w:t xml:space="preserve">Oxford, GB: </w:t>
      </w:r>
      <w:r w:rsidR="006B1EAC" w:rsidRPr="009A56BF">
        <w:rPr>
          <w:rFonts w:cs="Aparajita"/>
          <w:color w:val="000000" w:themeColor="text1"/>
          <w:sz w:val="20"/>
          <w:szCs w:val="20"/>
        </w:rPr>
        <w:t xml:space="preserve">Berg Publishers, 2005), 1-26; </w:t>
      </w:r>
      <w:r w:rsidR="003C62C3" w:rsidRPr="009A56BF">
        <w:rPr>
          <w:rFonts w:cs="Aparajita"/>
          <w:color w:val="000000" w:themeColor="text1"/>
          <w:sz w:val="20"/>
          <w:szCs w:val="20"/>
        </w:rPr>
        <w:t xml:space="preserve">Christian </w:t>
      </w:r>
      <w:proofErr w:type="spellStart"/>
      <w:r w:rsidR="003C62C3" w:rsidRPr="009A56BF">
        <w:rPr>
          <w:rFonts w:cs="Aparajita"/>
          <w:color w:val="000000" w:themeColor="text1"/>
          <w:sz w:val="20"/>
          <w:szCs w:val="20"/>
        </w:rPr>
        <w:t>Kordt</w:t>
      </w:r>
      <w:proofErr w:type="spellEnd"/>
      <w:r w:rsidR="003C62C3" w:rsidRPr="009A56BF">
        <w:rPr>
          <w:rFonts w:cs="Aparajita"/>
          <w:color w:val="000000" w:themeColor="text1"/>
          <w:sz w:val="20"/>
          <w:szCs w:val="20"/>
        </w:rPr>
        <w:t xml:space="preserve"> Højbjerg,</w:t>
      </w:r>
      <w:r w:rsidR="006B1EAC" w:rsidRPr="009A56BF">
        <w:rPr>
          <w:rFonts w:cs="Aparajita"/>
          <w:color w:val="000000" w:themeColor="text1"/>
          <w:sz w:val="20"/>
          <w:szCs w:val="20"/>
        </w:rPr>
        <w:t xml:space="preserve"> </w:t>
      </w:r>
      <w:r w:rsidR="008A73E0" w:rsidRPr="009A56BF">
        <w:rPr>
          <w:rFonts w:cs="Aparajita"/>
          <w:color w:val="000000" w:themeColor="text1"/>
          <w:sz w:val="20"/>
          <w:szCs w:val="20"/>
        </w:rPr>
        <w:t>”</w:t>
      </w:r>
      <w:r w:rsidR="006B1EAC" w:rsidRPr="009A56BF">
        <w:rPr>
          <w:color w:val="000000" w:themeColor="text1"/>
          <w:sz w:val="20"/>
          <w:szCs w:val="20"/>
        </w:rPr>
        <w:t>Hemmelighe</w:t>
      </w:r>
      <w:r w:rsidR="009A56BF" w:rsidRPr="009A56BF">
        <w:rPr>
          <w:color w:val="000000" w:themeColor="text1"/>
          <w:sz w:val="20"/>
          <w:szCs w:val="20"/>
        </w:rPr>
        <w:t>den: D</w:t>
      </w:r>
      <w:r w:rsidR="006B1EAC" w:rsidRPr="009A56BF">
        <w:rPr>
          <w:color w:val="000000" w:themeColor="text1"/>
          <w:sz w:val="20"/>
          <w:szCs w:val="20"/>
        </w:rPr>
        <w:t>et etiske dilemma</w:t>
      </w:r>
      <w:r w:rsidR="008A73E0" w:rsidRPr="009A56BF">
        <w:rPr>
          <w:color w:val="000000" w:themeColor="text1"/>
          <w:sz w:val="20"/>
          <w:szCs w:val="20"/>
        </w:rPr>
        <w:t>”, in: Kirsten</w:t>
      </w:r>
      <w:r w:rsidR="006B1EAC" w:rsidRPr="009A56BF">
        <w:rPr>
          <w:color w:val="000000" w:themeColor="text1"/>
          <w:sz w:val="20"/>
          <w:szCs w:val="20"/>
        </w:rPr>
        <w:t xml:space="preserve"> </w:t>
      </w:r>
      <w:r w:rsidR="008A73E0" w:rsidRPr="009A56BF">
        <w:rPr>
          <w:rFonts w:cs="Aparajita"/>
          <w:color w:val="000000" w:themeColor="text1"/>
          <w:sz w:val="20"/>
          <w:szCs w:val="20"/>
        </w:rPr>
        <w:t xml:space="preserve">Hastrup, </w:t>
      </w:r>
      <w:r w:rsidR="006B1EAC" w:rsidRPr="009A56BF">
        <w:rPr>
          <w:rFonts w:cs="Aparajita"/>
          <w:i/>
          <w:color w:val="000000" w:themeColor="text1"/>
          <w:sz w:val="20"/>
          <w:szCs w:val="20"/>
        </w:rPr>
        <w:t>Ind i Verden. En grundbog i antropologisk metode</w:t>
      </w:r>
      <w:r w:rsidR="008A73E0" w:rsidRPr="009A56BF">
        <w:rPr>
          <w:rFonts w:cs="Aparajita"/>
          <w:color w:val="000000" w:themeColor="text1"/>
          <w:sz w:val="20"/>
          <w:szCs w:val="20"/>
        </w:rPr>
        <w:t xml:space="preserve"> (</w:t>
      </w:r>
      <w:r w:rsidR="006B1EAC" w:rsidRPr="009A56BF">
        <w:rPr>
          <w:rFonts w:cs="Aparajita"/>
          <w:color w:val="000000" w:themeColor="text1"/>
          <w:sz w:val="20"/>
          <w:szCs w:val="20"/>
        </w:rPr>
        <w:t>København: Hans Reitzels Forlag</w:t>
      </w:r>
      <w:r w:rsidR="003C62C3" w:rsidRPr="009A56BF">
        <w:rPr>
          <w:rFonts w:cs="Aparajita"/>
          <w:color w:val="000000" w:themeColor="text1"/>
          <w:sz w:val="20"/>
          <w:szCs w:val="20"/>
        </w:rPr>
        <w:t>, 2003</w:t>
      </w:r>
      <w:r w:rsidR="008A73E0" w:rsidRPr="009A56BF">
        <w:rPr>
          <w:rFonts w:cs="Aparajita"/>
          <w:color w:val="000000" w:themeColor="text1"/>
          <w:sz w:val="20"/>
          <w:szCs w:val="20"/>
        </w:rPr>
        <w:t xml:space="preserve">), </w:t>
      </w:r>
      <w:r w:rsidR="009A56BF" w:rsidRPr="009A56BF">
        <w:rPr>
          <w:rFonts w:cs="Aparajita"/>
          <w:color w:val="000000" w:themeColor="text1"/>
          <w:sz w:val="20"/>
          <w:szCs w:val="20"/>
        </w:rPr>
        <w:t>297-324</w:t>
      </w:r>
      <w:r w:rsidR="008A73E0" w:rsidRPr="009A56BF">
        <w:rPr>
          <w:rFonts w:cs="Aparajita"/>
          <w:color w:val="000000" w:themeColor="text1"/>
          <w:sz w:val="20"/>
          <w:szCs w:val="20"/>
        </w:rPr>
        <w:t>;</w:t>
      </w:r>
      <w:r w:rsidR="003C62C3" w:rsidRPr="009A56BF">
        <w:rPr>
          <w:rFonts w:cs="Aparajita"/>
          <w:color w:val="000000" w:themeColor="text1"/>
          <w:sz w:val="20"/>
          <w:szCs w:val="20"/>
        </w:rPr>
        <w:t xml:space="preserve"> Tine Tjørnhøj-Thomsen, ”</w:t>
      </w:r>
      <w:r w:rsidR="006B1EAC" w:rsidRPr="009A56BF">
        <w:rPr>
          <w:rFonts w:cs="Aparajita"/>
          <w:color w:val="000000" w:themeColor="text1"/>
          <w:sz w:val="20"/>
          <w:szCs w:val="20"/>
        </w:rPr>
        <w:t xml:space="preserve">Samværet. </w:t>
      </w:r>
      <w:proofErr w:type="spellStart"/>
      <w:r w:rsidR="006B1EAC" w:rsidRPr="009A56BF">
        <w:rPr>
          <w:rFonts w:cs="Aparajita"/>
          <w:color w:val="000000" w:themeColor="text1"/>
          <w:sz w:val="20"/>
          <w:szCs w:val="20"/>
        </w:rPr>
        <w:t>Tilblivelser</w:t>
      </w:r>
      <w:proofErr w:type="spellEnd"/>
      <w:r w:rsidR="006B1EAC" w:rsidRPr="009A56BF">
        <w:rPr>
          <w:rFonts w:cs="Aparajita"/>
          <w:color w:val="000000" w:themeColor="text1"/>
          <w:sz w:val="20"/>
          <w:szCs w:val="20"/>
        </w:rPr>
        <w:t xml:space="preserve"> i tid og rum</w:t>
      </w:r>
      <w:r w:rsidR="003C62C3" w:rsidRPr="009A56BF">
        <w:rPr>
          <w:rFonts w:cs="Aparajita"/>
          <w:color w:val="000000" w:themeColor="text1"/>
          <w:sz w:val="20"/>
          <w:szCs w:val="20"/>
        </w:rPr>
        <w:t>”, in: Kirsten Hastrup</w:t>
      </w:r>
      <w:r w:rsidR="006B1EAC" w:rsidRPr="009A56BF">
        <w:rPr>
          <w:rFonts w:cs="Aparajita"/>
          <w:color w:val="000000" w:themeColor="text1"/>
          <w:sz w:val="20"/>
          <w:szCs w:val="20"/>
        </w:rPr>
        <w:t xml:space="preserve">, </w:t>
      </w:r>
      <w:r w:rsidR="006B1EAC" w:rsidRPr="009A56BF">
        <w:rPr>
          <w:rFonts w:cs="Aparajita"/>
          <w:i/>
          <w:color w:val="000000" w:themeColor="text1"/>
          <w:sz w:val="20"/>
          <w:szCs w:val="20"/>
        </w:rPr>
        <w:t>Ind i Verden. En grundbog i antropologisk metode</w:t>
      </w:r>
      <w:r w:rsidR="006B1EAC" w:rsidRPr="009A56BF">
        <w:rPr>
          <w:rFonts w:cs="Aparajita"/>
          <w:color w:val="000000" w:themeColor="text1"/>
          <w:sz w:val="20"/>
          <w:szCs w:val="20"/>
        </w:rPr>
        <w:t xml:space="preserve"> </w:t>
      </w:r>
      <w:r w:rsidR="003C62C3" w:rsidRPr="009A56BF">
        <w:rPr>
          <w:rFonts w:cs="Aparajita"/>
          <w:color w:val="000000" w:themeColor="text1"/>
          <w:sz w:val="20"/>
          <w:szCs w:val="20"/>
        </w:rPr>
        <w:t>(</w:t>
      </w:r>
      <w:r w:rsidR="006B1EAC" w:rsidRPr="009A56BF">
        <w:rPr>
          <w:rFonts w:cs="Aparajita"/>
          <w:color w:val="000000" w:themeColor="text1"/>
          <w:sz w:val="20"/>
          <w:szCs w:val="20"/>
        </w:rPr>
        <w:t>København: Hans Reitzels Forlag</w:t>
      </w:r>
      <w:r w:rsidR="003C62C3" w:rsidRPr="009A56BF">
        <w:rPr>
          <w:rFonts w:cs="Aparajita"/>
          <w:color w:val="000000" w:themeColor="text1"/>
          <w:sz w:val="20"/>
          <w:szCs w:val="20"/>
        </w:rPr>
        <w:t>, 2003), 93-115.</w:t>
      </w:r>
    </w:p>
  </w:footnote>
  <w:footnote w:id="32">
    <w:p w14:paraId="05AF436C" w14:textId="719901D0" w:rsidR="006B1EAC" w:rsidRPr="00A91732" w:rsidRDefault="000D1210" w:rsidP="00A91732">
      <w:pPr>
        <w:pStyle w:val="Fodnotetekst"/>
        <w:contextualSpacing/>
        <w:rPr>
          <w:rFonts w:cs="Aparajita"/>
          <w:sz w:val="20"/>
          <w:szCs w:val="20"/>
        </w:rPr>
      </w:pPr>
      <w:r w:rsidRPr="00A91732">
        <w:rPr>
          <w:rStyle w:val="Fodnotehenvisning"/>
          <w:sz w:val="20"/>
          <w:szCs w:val="20"/>
        </w:rPr>
        <w:footnoteRef/>
      </w:r>
      <w:r w:rsidRPr="00A91732">
        <w:rPr>
          <w:sz w:val="20"/>
          <w:szCs w:val="20"/>
        </w:rPr>
        <w:t xml:space="preserve"> </w:t>
      </w:r>
      <w:r w:rsidR="006B1EAC" w:rsidRPr="00A91732">
        <w:rPr>
          <w:rFonts w:cs="Aparajita"/>
          <w:color w:val="000000" w:themeColor="text1"/>
          <w:sz w:val="20"/>
          <w:szCs w:val="20"/>
        </w:rPr>
        <w:t xml:space="preserve">Kirsten Hastrup, </w:t>
      </w:r>
      <w:r w:rsidR="006B1EAC" w:rsidRPr="00A91732">
        <w:rPr>
          <w:rFonts w:cs="Aparajita"/>
          <w:i/>
          <w:color w:val="000000" w:themeColor="text1"/>
          <w:sz w:val="20"/>
          <w:szCs w:val="20"/>
        </w:rPr>
        <w:t>Mellem Mennesker. En grundbog i antropologisk forskningsetik</w:t>
      </w:r>
      <w:r w:rsidR="006B1EAC" w:rsidRPr="00A91732">
        <w:rPr>
          <w:rFonts w:cs="Aparajita"/>
          <w:color w:val="000000" w:themeColor="text1"/>
          <w:sz w:val="20"/>
          <w:szCs w:val="20"/>
        </w:rPr>
        <w:t xml:space="preserve"> (København: Hans Reitzels Forlag, 2009).</w:t>
      </w:r>
    </w:p>
  </w:footnote>
  <w:footnote w:id="33">
    <w:p w14:paraId="79BA3475" w14:textId="6809BCFF" w:rsidR="009A56BF" w:rsidRPr="009A56BF" w:rsidRDefault="000D1210" w:rsidP="00A91732">
      <w:pPr>
        <w:pStyle w:val="Fodnotetekst"/>
        <w:contextualSpacing/>
        <w:rPr>
          <w:rFonts w:cstheme="minorHAnsi"/>
          <w:color w:val="000000" w:themeColor="text1"/>
          <w:sz w:val="20"/>
          <w:szCs w:val="20"/>
          <w:lang w:val="en-US"/>
        </w:rPr>
      </w:pPr>
      <w:r w:rsidRPr="009A56BF">
        <w:rPr>
          <w:rStyle w:val="Fodnotehenvisning"/>
          <w:sz w:val="20"/>
          <w:szCs w:val="20"/>
        </w:rPr>
        <w:footnoteRef/>
      </w:r>
      <w:r w:rsidRPr="009A56BF">
        <w:rPr>
          <w:sz w:val="20"/>
          <w:szCs w:val="20"/>
          <w:lang w:val="en-US"/>
        </w:rPr>
        <w:t xml:space="preserve"> </w:t>
      </w:r>
      <w:r w:rsidR="00E26990" w:rsidRPr="009A56BF">
        <w:rPr>
          <w:rFonts w:cs="Aparajita"/>
          <w:color w:val="000000" w:themeColor="text1"/>
          <w:sz w:val="20"/>
          <w:szCs w:val="20"/>
          <w:lang w:val="en-US"/>
        </w:rPr>
        <w:t xml:space="preserve">Peggy Field &amp; Janice Morse, </w:t>
      </w:r>
      <w:r w:rsidR="00E26990" w:rsidRPr="009A56BF">
        <w:rPr>
          <w:rFonts w:cs="Aparajita"/>
          <w:i/>
          <w:color w:val="000000" w:themeColor="text1"/>
          <w:sz w:val="20"/>
          <w:szCs w:val="20"/>
          <w:lang w:val="en-US"/>
        </w:rPr>
        <w:t>Nursing research. The application of qualitative approaches</w:t>
      </w:r>
      <w:r w:rsidR="00E26990" w:rsidRPr="009A56BF">
        <w:rPr>
          <w:rFonts w:cs="Aparajita"/>
          <w:color w:val="000000" w:themeColor="text1"/>
          <w:sz w:val="20"/>
          <w:szCs w:val="20"/>
          <w:lang w:val="en-US"/>
        </w:rPr>
        <w:t xml:space="preserve"> (London: Chapman &amp; Hall, 1992); </w:t>
      </w:r>
      <w:r w:rsidR="00E26990" w:rsidRPr="009A56BF">
        <w:rPr>
          <w:rFonts w:cstheme="minorHAnsi"/>
          <w:color w:val="000000" w:themeColor="text1"/>
          <w:sz w:val="20"/>
          <w:szCs w:val="20"/>
          <w:lang w:val="en-US"/>
        </w:rPr>
        <w:t xml:space="preserve">Jennifer Mason, </w:t>
      </w:r>
      <w:r w:rsidR="00E26990" w:rsidRPr="009A56BF">
        <w:rPr>
          <w:rFonts w:cstheme="minorHAnsi"/>
          <w:i/>
          <w:color w:val="000000" w:themeColor="text1"/>
          <w:sz w:val="20"/>
          <w:szCs w:val="20"/>
          <w:lang w:val="en-US"/>
        </w:rPr>
        <w:t>Qualitative researching</w:t>
      </w:r>
      <w:r w:rsidR="00E26990" w:rsidRPr="009A56BF">
        <w:rPr>
          <w:rFonts w:cstheme="minorHAnsi"/>
          <w:color w:val="000000" w:themeColor="text1"/>
          <w:sz w:val="20"/>
          <w:szCs w:val="20"/>
          <w:lang w:val="en-US"/>
        </w:rPr>
        <w:t xml:space="preserve"> (London: Sage, 1996)</w:t>
      </w:r>
      <w:r w:rsidR="009A56BF" w:rsidRPr="009A56BF">
        <w:rPr>
          <w:rFonts w:cstheme="minorHAnsi"/>
          <w:color w:val="000000" w:themeColor="text1"/>
          <w:sz w:val="20"/>
          <w:szCs w:val="20"/>
          <w:lang w:val="en-US"/>
        </w:rPr>
        <w:t xml:space="preserve">; </w:t>
      </w:r>
      <w:r w:rsidR="009A56BF" w:rsidRPr="009A56BF">
        <w:rPr>
          <w:rFonts w:cs="Arial"/>
          <w:color w:val="000000" w:themeColor="text1"/>
          <w:sz w:val="20"/>
          <w:szCs w:val="20"/>
          <w:lang w:val="en-US"/>
        </w:rPr>
        <w:t xml:space="preserve">David </w:t>
      </w:r>
      <w:r w:rsidR="00E26990" w:rsidRPr="009A56BF">
        <w:rPr>
          <w:rFonts w:cs="Arial"/>
          <w:color w:val="000000" w:themeColor="text1"/>
          <w:sz w:val="20"/>
          <w:szCs w:val="20"/>
          <w:lang w:val="en-US"/>
        </w:rPr>
        <w:t>Camp</w:t>
      </w:r>
      <w:r w:rsidR="009A56BF" w:rsidRPr="009A56BF">
        <w:rPr>
          <w:rFonts w:cs="Arial"/>
          <w:color w:val="000000" w:themeColor="text1"/>
          <w:sz w:val="20"/>
          <w:szCs w:val="20"/>
          <w:lang w:val="en-US"/>
        </w:rPr>
        <w:t>bell &amp; Michael Shapiro,</w:t>
      </w:r>
      <w:r w:rsidR="00E26990" w:rsidRPr="009A56BF">
        <w:rPr>
          <w:rFonts w:cs="Arial"/>
          <w:color w:val="000000" w:themeColor="text1"/>
          <w:sz w:val="20"/>
          <w:szCs w:val="20"/>
          <w:lang w:val="en-US"/>
        </w:rPr>
        <w:t xml:space="preserve"> </w:t>
      </w:r>
      <w:r w:rsidR="009A56BF" w:rsidRPr="009A56BF">
        <w:rPr>
          <w:rFonts w:cs="Arial"/>
          <w:color w:val="000000" w:themeColor="text1"/>
          <w:sz w:val="20"/>
          <w:szCs w:val="20"/>
          <w:lang w:val="en-US"/>
        </w:rPr>
        <w:t>“</w:t>
      </w:r>
      <w:r w:rsidR="00E26990" w:rsidRPr="009A56BF">
        <w:rPr>
          <w:rFonts w:cs="Arial"/>
          <w:color w:val="000000" w:themeColor="text1"/>
          <w:sz w:val="20"/>
          <w:szCs w:val="20"/>
          <w:lang w:val="en-US"/>
        </w:rPr>
        <w:t>Introduction: from ethical theory to the ethical relation</w:t>
      </w:r>
      <w:r w:rsidR="009A56BF" w:rsidRPr="009A56BF">
        <w:rPr>
          <w:rFonts w:cs="Arial"/>
          <w:color w:val="000000" w:themeColor="text1"/>
          <w:sz w:val="20"/>
          <w:szCs w:val="20"/>
          <w:lang w:val="en-US"/>
        </w:rPr>
        <w:t xml:space="preserve">”, in: David </w:t>
      </w:r>
      <w:r w:rsidR="00E26990" w:rsidRPr="009A56BF">
        <w:rPr>
          <w:rFonts w:cs="Arial"/>
          <w:color w:val="000000" w:themeColor="text1"/>
          <w:sz w:val="20"/>
          <w:szCs w:val="20"/>
          <w:lang w:val="en-US"/>
        </w:rPr>
        <w:t>C</w:t>
      </w:r>
      <w:r w:rsidR="009A56BF" w:rsidRPr="009A56BF">
        <w:rPr>
          <w:rFonts w:cs="Arial"/>
          <w:color w:val="000000" w:themeColor="text1"/>
          <w:sz w:val="20"/>
          <w:szCs w:val="20"/>
          <w:lang w:val="en-US"/>
        </w:rPr>
        <w:t>ampbell &amp; Michael Shapiro</w:t>
      </w:r>
      <w:r w:rsidR="00E26990" w:rsidRPr="009A56BF">
        <w:rPr>
          <w:rFonts w:cs="Arial"/>
          <w:color w:val="000000" w:themeColor="text1"/>
          <w:sz w:val="20"/>
          <w:szCs w:val="20"/>
          <w:lang w:val="en-US"/>
        </w:rPr>
        <w:t xml:space="preserve">, </w:t>
      </w:r>
      <w:r w:rsidR="00E26990" w:rsidRPr="009A56BF">
        <w:rPr>
          <w:rFonts w:cs="Arial"/>
          <w:i/>
          <w:iCs/>
          <w:color w:val="000000" w:themeColor="text1"/>
          <w:sz w:val="20"/>
          <w:szCs w:val="20"/>
          <w:lang w:val="en-US"/>
        </w:rPr>
        <w:t>Moral Spaces: Rethinking Ethics and</w:t>
      </w:r>
      <w:r w:rsidR="00E26990" w:rsidRPr="009A56BF">
        <w:rPr>
          <w:rFonts w:cs="Arial"/>
          <w:color w:val="000000" w:themeColor="text1"/>
          <w:sz w:val="20"/>
          <w:szCs w:val="20"/>
          <w:lang w:val="en-US"/>
        </w:rPr>
        <w:t xml:space="preserve"> </w:t>
      </w:r>
      <w:r w:rsidR="00E26990" w:rsidRPr="009A56BF">
        <w:rPr>
          <w:rFonts w:cs="Arial"/>
          <w:i/>
          <w:iCs/>
          <w:color w:val="000000" w:themeColor="text1"/>
          <w:sz w:val="20"/>
          <w:szCs w:val="20"/>
          <w:lang w:val="en-US"/>
        </w:rPr>
        <w:t>World Politics</w:t>
      </w:r>
      <w:r w:rsidR="009A56BF" w:rsidRPr="009A56BF">
        <w:rPr>
          <w:rFonts w:cs="Arial"/>
          <w:color w:val="000000" w:themeColor="text1"/>
          <w:sz w:val="20"/>
          <w:szCs w:val="20"/>
          <w:lang w:val="en-US"/>
        </w:rPr>
        <w:t xml:space="preserve"> (</w:t>
      </w:r>
      <w:r w:rsidR="00E26990" w:rsidRPr="009A56BF">
        <w:rPr>
          <w:rFonts w:cs="Arial"/>
          <w:color w:val="000000" w:themeColor="text1"/>
          <w:sz w:val="20"/>
          <w:szCs w:val="20"/>
          <w:lang w:val="en-US"/>
        </w:rPr>
        <w:t>Minneapolis: University of Minnesota</w:t>
      </w:r>
      <w:r w:rsidR="009A56BF" w:rsidRPr="009A56BF">
        <w:rPr>
          <w:rFonts w:cs="Arial"/>
          <w:color w:val="000000" w:themeColor="text1"/>
          <w:sz w:val="20"/>
          <w:szCs w:val="20"/>
          <w:lang w:val="en-US"/>
        </w:rPr>
        <w:t>, 1999), vii-xx.</w:t>
      </w:r>
    </w:p>
  </w:footnote>
  <w:footnote w:id="34">
    <w:p w14:paraId="6D1AC8AC" w14:textId="6C0FFD8B" w:rsidR="00E26990" w:rsidRPr="00A91732" w:rsidRDefault="000D1210" w:rsidP="00A91732">
      <w:pPr>
        <w:pStyle w:val="Fodnotetekst"/>
        <w:contextualSpacing/>
        <w:rPr>
          <w:rFonts w:cstheme="minorHAnsi"/>
          <w:sz w:val="20"/>
          <w:szCs w:val="20"/>
        </w:rPr>
      </w:pPr>
      <w:r w:rsidRPr="00A91732">
        <w:rPr>
          <w:rStyle w:val="Fodnotehenvisning"/>
          <w:sz w:val="20"/>
          <w:szCs w:val="20"/>
        </w:rPr>
        <w:footnoteRef/>
      </w:r>
      <w:r w:rsidRPr="00A91732">
        <w:rPr>
          <w:sz w:val="20"/>
          <w:szCs w:val="20"/>
          <w:lang w:val="en-US"/>
        </w:rPr>
        <w:t xml:space="preserve"> </w:t>
      </w:r>
      <w:r w:rsidR="00334833" w:rsidRPr="00A91732">
        <w:rPr>
          <w:sz w:val="20"/>
          <w:szCs w:val="20"/>
          <w:lang w:val="en-US"/>
        </w:rPr>
        <w:t xml:space="preserve">Tina </w:t>
      </w:r>
      <w:r w:rsidR="00334833" w:rsidRPr="00A91732">
        <w:rPr>
          <w:rFonts w:cs="Aparajita"/>
          <w:color w:val="000000" w:themeColor="text1"/>
          <w:sz w:val="20"/>
          <w:szCs w:val="20"/>
          <w:lang w:val="en-US"/>
        </w:rPr>
        <w:t xml:space="preserve">Miller &amp; Mary </w:t>
      </w:r>
      <w:proofErr w:type="spellStart"/>
      <w:r w:rsidR="00334833" w:rsidRPr="00A91732">
        <w:rPr>
          <w:rFonts w:cs="Aparajita"/>
          <w:color w:val="000000" w:themeColor="text1"/>
          <w:sz w:val="20"/>
          <w:szCs w:val="20"/>
          <w:lang w:val="en-US"/>
        </w:rPr>
        <w:t>Boulton</w:t>
      </w:r>
      <w:proofErr w:type="spellEnd"/>
      <w:r w:rsidR="00334833" w:rsidRPr="00A91732">
        <w:rPr>
          <w:rFonts w:cs="Aparajita"/>
          <w:color w:val="000000" w:themeColor="text1"/>
          <w:sz w:val="20"/>
          <w:szCs w:val="20"/>
          <w:lang w:val="en-US"/>
        </w:rPr>
        <w:t xml:space="preserve">, “Changing constructions of informed consent: Qualitative research and complex social worlds”. </w:t>
      </w:r>
      <w:r w:rsidR="00334833" w:rsidRPr="00A91732">
        <w:rPr>
          <w:rFonts w:cs="Aparajita"/>
          <w:i/>
          <w:color w:val="000000" w:themeColor="text1"/>
          <w:sz w:val="20"/>
          <w:szCs w:val="20"/>
        </w:rPr>
        <w:t xml:space="preserve">Social Science &amp; </w:t>
      </w:r>
      <w:proofErr w:type="spellStart"/>
      <w:r w:rsidR="00334833" w:rsidRPr="00A91732">
        <w:rPr>
          <w:rFonts w:cs="Aparajita"/>
          <w:i/>
          <w:color w:val="000000" w:themeColor="text1"/>
          <w:sz w:val="20"/>
          <w:szCs w:val="20"/>
        </w:rPr>
        <w:t>Medicine</w:t>
      </w:r>
      <w:proofErr w:type="spellEnd"/>
      <w:r w:rsidR="00334833" w:rsidRPr="00A91732">
        <w:rPr>
          <w:rFonts w:cs="Aparajita"/>
          <w:color w:val="000000" w:themeColor="text1"/>
          <w:sz w:val="20"/>
          <w:szCs w:val="20"/>
        </w:rPr>
        <w:t>, vol. 65, no. 11 (2007), 2199-2211.</w:t>
      </w:r>
    </w:p>
  </w:footnote>
  <w:footnote w:id="35">
    <w:p w14:paraId="0B958FED" w14:textId="10A0CFB6" w:rsidR="00FD3468" w:rsidRPr="00A91732" w:rsidRDefault="000D1210" w:rsidP="00A91732">
      <w:pPr>
        <w:pStyle w:val="Fodnotetekst"/>
        <w:contextualSpacing/>
        <w:rPr>
          <w:sz w:val="20"/>
          <w:szCs w:val="20"/>
        </w:rPr>
      </w:pPr>
      <w:r w:rsidRPr="00A91732">
        <w:rPr>
          <w:rStyle w:val="Fodnotehenvisning"/>
          <w:sz w:val="20"/>
          <w:szCs w:val="20"/>
        </w:rPr>
        <w:footnoteRef/>
      </w:r>
      <w:r w:rsidR="00FD3468" w:rsidRPr="00A91732">
        <w:rPr>
          <w:sz w:val="20"/>
          <w:szCs w:val="20"/>
        </w:rPr>
        <w:t xml:space="preserve"> </w:t>
      </w:r>
      <w:r w:rsidRPr="00A91732">
        <w:rPr>
          <w:sz w:val="20"/>
          <w:szCs w:val="20"/>
        </w:rPr>
        <w:t>Tjørnhøj-Thomsen &amp; Hansen</w:t>
      </w:r>
      <w:r w:rsidR="00FD3468" w:rsidRPr="00A91732">
        <w:rPr>
          <w:sz w:val="20"/>
          <w:szCs w:val="20"/>
        </w:rPr>
        <w:t>, “</w:t>
      </w:r>
      <w:r w:rsidR="00FD3468" w:rsidRPr="00A91732">
        <w:rPr>
          <w:rFonts w:cs="Aparajita"/>
          <w:color w:val="000000" w:themeColor="text1"/>
          <w:sz w:val="20"/>
          <w:szCs w:val="20"/>
        </w:rPr>
        <w:t xml:space="preserve">Overskridelsens etik”, </w:t>
      </w:r>
      <w:r w:rsidRPr="00A91732">
        <w:rPr>
          <w:sz w:val="20"/>
          <w:szCs w:val="20"/>
        </w:rPr>
        <w:t>227</w:t>
      </w:r>
      <w:r w:rsidR="00FD3468" w:rsidRPr="00A91732">
        <w:rPr>
          <w:sz w:val="20"/>
          <w:szCs w:val="20"/>
        </w:rPr>
        <w:t>.</w:t>
      </w:r>
    </w:p>
  </w:footnote>
  <w:footnote w:id="36">
    <w:p w14:paraId="38B2757F" w14:textId="4B68C3F2" w:rsidR="009A56BF" w:rsidRPr="00954669" w:rsidRDefault="000D1210" w:rsidP="00A91732">
      <w:pPr>
        <w:pStyle w:val="Fodnotetekst"/>
        <w:contextualSpacing/>
        <w:rPr>
          <w:sz w:val="20"/>
          <w:szCs w:val="20"/>
          <w:lang w:val="en-US"/>
        </w:rPr>
      </w:pPr>
      <w:r w:rsidRPr="00954669">
        <w:rPr>
          <w:rStyle w:val="Fodnotehenvisning"/>
          <w:sz w:val="20"/>
          <w:szCs w:val="20"/>
        </w:rPr>
        <w:footnoteRef/>
      </w:r>
      <w:r w:rsidRPr="00954669">
        <w:rPr>
          <w:sz w:val="20"/>
          <w:szCs w:val="20"/>
          <w:lang w:val="en-US"/>
        </w:rPr>
        <w:t xml:space="preserve"> </w:t>
      </w:r>
      <w:r w:rsidR="00FD3468" w:rsidRPr="00954669">
        <w:rPr>
          <w:rFonts w:cs="Arial"/>
          <w:sz w:val="20"/>
          <w:szCs w:val="20"/>
          <w:lang w:val="en-US"/>
        </w:rPr>
        <w:t>Guillemin &amp; Gillam</w:t>
      </w:r>
      <w:r w:rsidR="00FD3468" w:rsidRPr="00954669">
        <w:rPr>
          <w:rFonts w:cs="Arial"/>
          <w:color w:val="000000" w:themeColor="text1"/>
          <w:sz w:val="20"/>
          <w:szCs w:val="20"/>
          <w:lang w:val="en-US"/>
        </w:rPr>
        <w:t>,</w:t>
      </w:r>
      <w:r w:rsidR="00FD3468" w:rsidRPr="00954669">
        <w:rPr>
          <w:color w:val="000000" w:themeColor="text1"/>
          <w:sz w:val="20"/>
          <w:szCs w:val="20"/>
          <w:lang w:val="en-US"/>
        </w:rPr>
        <w:t xml:space="preserve"> “</w:t>
      </w:r>
      <w:r w:rsidR="00FD3468" w:rsidRPr="00954669">
        <w:rPr>
          <w:rFonts w:cs="Aparajita"/>
          <w:color w:val="000000" w:themeColor="text1"/>
          <w:sz w:val="20"/>
          <w:szCs w:val="20"/>
          <w:lang w:val="en-US"/>
        </w:rPr>
        <w:t xml:space="preserve">Ethics, Reflexivity, and ‘Ethically Important Moments’”, </w:t>
      </w:r>
      <w:r w:rsidR="00FD3468" w:rsidRPr="00954669">
        <w:rPr>
          <w:rFonts w:cs="Arial"/>
          <w:sz w:val="20"/>
          <w:szCs w:val="20"/>
          <w:lang w:val="en-US"/>
        </w:rPr>
        <w:t xml:space="preserve">261-280. </w:t>
      </w:r>
      <w:r w:rsidRPr="00954669">
        <w:rPr>
          <w:sz w:val="20"/>
          <w:szCs w:val="20"/>
          <w:lang w:val="en-US"/>
        </w:rPr>
        <w:t xml:space="preserve">Allan </w:t>
      </w:r>
      <w:proofErr w:type="spellStart"/>
      <w:r w:rsidRPr="00954669">
        <w:rPr>
          <w:sz w:val="20"/>
          <w:szCs w:val="20"/>
          <w:lang w:val="en-US"/>
        </w:rPr>
        <w:t>Kellehear</w:t>
      </w:r>
      <w:proofErr w:type="spellEnd"/>
      <w:r w:rsidRPr="00954669">
        <w:rPr>
          <w:sz w:val="20"/>
          <w:szCs w:val="20"/>
          <w:lang w:val="en-US"/>
        </w:rPr>
        <w:t xml:space="preserve"> </w:t>
      </w:r>
      <w:proofErr w:type="spellStart"/>
      <w:r w:rsidRPr="00954669">
        <w:rPr>
          <w:sz w:val="20"/>
          <w:szCs w:val="20"/>
          <w:lang w:val="en-US"/>
        </w:rPr>
        <w:t>omtaler</w:t>
      </w:r>
      <w:proofErr w:type="spellEnd"/>
      <w:r w:rsidRPr="00954669">
        <w:rPr>
          <w:sz w:val="20"/>
          <w:szCs w:val="20"/>
          <w:lang w:val="en-US"/>
        </w:rPr>
        <w:t xml:space="preserve"> </w:t>
      </w:r>
      <w:proofErr w:type="spellStart"/>
      <w:r w:rsidRPr="00954669">
        <w:rPr>
          <w:sz w:val="20"/>
          <w:szCs w:val="20"/>
          <w:lang w:val="en-US"/>
        </w:rPr>
        <w:t>dem</w:t>
      </w:r>
      <w:proofErr w:type="spellEnd"/>
      <w:r w:rsidRPr="00954669">
        <w:rPr>
          <w:sz w:val="20"/>
          <w:szCs w:val="20"/>
          <w:lang w:val="en-US"/>
        </w:rPr>
        <w:t xml:space="preserve"> </w:t>
      </w:r>
      <w:proofErr w:type="spellStart"/>
      <w:proofErr w:type="gramStart"/>
      <w:r w:rsidRPr="00954669">
        <w:rPr>
          <w:sz w:val="20"/>
          <w:szCs w:val="20"/>
          <w:lang w:val="en-US"/>
        </w:rPr>
        <w:t>som</w:t>
      </w:r>
      <w:proofErr w:type="spellEnd"/>
      <w:r w:rsidRPr="00954669">
        <w:rPr>
          <w:sz w:val="20"/>
          <w:szCs w:val="20"/>
          <w:lang w:val="en-US"/>
        </w:rPr>
        <w:t xml:space="preserve"> ”delicate</w:t>
      </w:r>
      <w:proofErr w:type="gramEnd"/>
      <w:r w:rsidRPr="00954669">
        <w:rPr>
          <w:sz w:val="20"/>
          <w:szCs w:val="20"/>
          <w:lang w:val="en-US"/>
        </w:rPr>
        <w:t xml:space="preserve"> situations”</w:t>
      </w:r>
      <w:r w:rsidR="00954669" w:rsidRPr="00954669">
        <w:rPr>
          <w:sz w:val="20"/>
          <w:szCs w:val="20"/>
          <w:lang w:val="en-US"/>
        </w:rPr>
        <w:t>, se</w:t>
      </w:r>
      <w:r w:rsidRPr="00954669">
        <w:rPr>
          <w:sz w:val="20"/>
          <w:szCs w:val="20"/>
          <w:lang w:val="en-US"/>
        </w:rPr>
        <w:t xml:space="preserve"> </w:t>
      </w:r>
      <w:r w:rsidR="00FD3468" w:rsidRPr="00954669">
        <w:rPr>
          <w:sz w:val="20"/>
          <w:szCs w:val="20"/>
          <w:lang w:val="en-US"/>
        </w:rPr>
        <w:t xml:space="preserve">Allen </w:t>
      </w:r>
      <w:proofErr w:type="spellStart"/>
      <w:r w:rsidRPr="00954669">
        <w:rPr>
          <w:sz w:val="20"/>
          <w:szCs w:val="20"/>
          <w:lang w:val="en-US"/>
        </w:rPr>
        <w:t>Kellehear</w:t>
      </w:r>
      <w:proofErr w:type="spellEnd"/>
      <w:r w:rsidR="009A56BF" w:rsidRPr="00954669">
        <w:rPr>
          <w:sz w:val="20"/>
          <w:szCs w:val="20"/>
          <w:lang w:val="en-US"/>
        </w:rPr>
        <w:t>,</w:t>
      </w:r>
      <w:r w:rsidR="00FD3468" w:rsidRPr="00954669">
        <w:rPr>
          <w:color w:val="000000" w:themeColor="text1"/>
          <w:sz w:val="20"/>
          <w:szCs w:val="20"/>
          <w:lang w:val="en-US"/>
        </w:rPr>
        <w:t xml:space="preserve"> </w:t>
      </w:r>
      <w:r w:rsidR="009A56BF" w:rsidRPr="00954669">
        <w:rPr>
          <w:color w:val="000000" w:themeColor="text1"/>
          <w:sz w:val="20"/>
          <w:szCs w:val="20"/>
          <w:lang w:val="en-US"/>
        </w:rPr>
        <w:t>”</w:t>
      </w:r>
      <w:r w:rsidR="00FD3468" w:rsidRPr="00954669">
        <w:rPr>
          <w:color w:val="000000" w:themeColor="text1"/>
          <w:sz w:val="20"/>
          <w:szCs w:val="20"/>
          <w:lang w:val="en-US"/>
        </w:rPr>
        <w:t>Unobtrusive methods in delicate situations</w:t>
      </w:r>
      <w:r w:rsidR="009A56BF" w:rsidRPr="00954669">
        <w:rPr>
          <w:color w:val="000000" w:themeColor="text1"/>
          <w:sz w:val="20"/>
          <w:szCs w:val="20"/>
          <w:lang w:val="en-US"/>
        </w:rPr>
        <w:t xml:space="preserve">”, in: </w:t>
      </w:r>
      <w:r w:rsidR="00954669" w:rsidRPr="00954669">
        <w:rPr>
          <w:color w:val="000000" w:themeColor="text1"/>
          <w:sz w:val="20"/>
          <w:szCs w:val="20"/>
          <w:lang w:val="en-US"/>
        </w:rPr>
        <w:t xml:space="preserve">Jeanne </w:t>
      </w:r>
      <w:r w:rsidR="009A56BF" w:rsidRPr="00954669">
        <w:rPr>
          <w:color w:val="000000" w:themeColor="text1"/>
          <w:sz w:val="20"/>
          <w:szCs w:val="20"/>
          <w:lang w:val="en-US"/>
        </w:rPr>
        <w:t>Daly</w:t>
      </w:r>
      <w:r w:rsidR="00FD3468" w:rsidRPr="00954669">
        <w:rPr>
          <w:color w:val="000000" w:themeColor="text1"/>
          <w:sz w:val="20"/>
          <w:szCs w:val="20"/>
          <w:lang w:val="en-US"/>
        </w:rPr>
        <w:t xml:space="preserve">, </w:t>
      </w:r>
      <w:r w:rsidR="00FD3468" w:rsidRPr="00954669">
        <w:rPr>
          <w:i/>
          <w:color w:val="000000" w:themeColor="text1"/>
          <w:sz w:val="20"/>
          <w:szCs w:val="20"/>
          <w:lang w:val="en-US"/>
        </w:rPr>
        <w:t>Ethical intersections: Health research, methods and researcher responsibility</w:t>
      </w:r>
      <w:r w:rsidR="009A56BF" w:rsidRPr="00954669">
        <w:rPr>
          <w:color w:val="000000" w:themeColor="text1"/>
          <w:sz w:val="20"/>
          <w:szCs w:val="20"/>
          <w:lang w:val="en-US"/>
        </w:rPr>
        <w:t xml:space="preserve"> (</w:t>
      </w:r>
      <w:r w:rsidR="00FD3468" w:rsidRPr="00954669">
        <w:rPr>
          <w:color w:val="000000" w:themeColor="text1"/>
          <w:sz w:val="20"/>
          <w:szCs w:val="20"/>
          <w:lang w:val="en-US"/>
        </w:rPr>
        <w:t>Sydney, Australia: Allen &amp; Unwin</w:t>
      </w:r>
      <w:r w:rsidR="009A56BF" w:rsidRPr="00954669">
        <w:rPr>
          <w:color w:val="000000" w:themeColor="text1"/>
          <w:sz w:val="20"/>
          <w:szCs w:val="20"/>
          <w:lang w:val="en-US"/>
        </w:rPr>
        <w:t>, 1996), 97-105</w:t>
      </w:r>
      <w:r w:rsidR="00FD3468" w:rsidRPr="00954669">
        <w:rPr>
          <w:color w:val="000000" w:themeColor="text1"/>
          <w:sz w:val="20"/>
          <w:szCs w:val="20"/>
          <w:lang w:val="en-US"/>
        </w:rPr>
        <w:t>.</w:t>
      </w:r>
    </w:p>
  </w:footnote>
  <w:footnote w:id="37">
    <w:p w14:paraId="0E101BD9" w14:textId="1812E9A2" w:rsidR="000D1210" w:rsidRPr="003E11CD" w:rsidRDefault="000D1210" w:rsidP="00A91732">
      <w:pPr>
        <w:pStyle w:val="Fodnotetekst"/>
        <w:contextualSpacing/>
        <w:rPr>
          <w:sz w:val="20"/>
          <w:szCs w:val="20"/>
        </w:rPr>
      </w:pPr>
      <w:r w:rsidRPr="00A91732">
        <w:rPr>
          <w:rStyle w:val="Fodnotehenvisning"/>
          <w:sz w:val="20"/>
          <w:szCs w:val="20"/>
        </w:rPr>
        <w:footnoteRef/>
      </w:r>
      <w:r w:rsidRPr="00A91732">
        <w:rPr>
          <w:sz w:val="20"/>
          <w:szCs w:val="20"/>
          <w:lang w:val="en-US"/>
        </w:rPr>
        <w:t xml:space="preserve"> </w:t>
      </w:r>
      <w:r w:rsidR="00FD3468" w:rsidRPr="00A91732">
        <w:rPr>
          <w:rFonts w:cs="Arial"/>
          <w:sz w:val="20"/>
          <w:szCs w:val="20"/>
          <w:lang w:val="en-US"/>
        </w:rPr>
        <w:t>Guillemin &amp; Gillam</w:t>
      </w:r>
      <w:r w:rsidR="00FD3468" w:rsidRPr="00A91732">
        <w:rPr>
          <w:rFonts w:cs="Arial"/>
          <w:color w:val="000000" w:themeColor="text1"/>
          <w:sz w:val="20"/>
          <w:szCs w:val="20"/>
          <w:lang w:val="en-US"/>
        </w:rPr>
        <w:t>,</w:t>
      </w:r>
      <w:r w:rsidR="00FD3468" w:rsidRPr="00A91732">
        <w:rPr>
          <w:color w:val="000000" w:themeColor="text1"/>
          <w:sz w:val="20"/>
          <w:szCs w:val="20"/>
          <w:lang w:val="en-US"/>
        </w:rPr>
        <w:t xml:space="preserve"> “</w:t>
      </w:r>
      <w:r w:rsidR="00FD3468" w:rsidRPr="00A91732">
        <w:rPr>
          <w:rFonts w:cs="Aparajita"/>
          <w:color w:val="000000" w:themeColor="text1"/>
          <w:sz w:val="20"/>
          <w:szCs w:val="20"/>
          <w:lang w:val="en-US"/>
        </w:rPr>
        <w:t xml:space="preserve">Ethics, Reflexivity, and ‘Ethically Important Moments’”, </w:t>
      </w:r>
      <w:r w:rsidR="00FD3468" w:rsidRPr="00A91732">
        <w:rPr>
          <w:rFonts w:cs="Arial"/>
          <w:sz w:val="20"/>
          <w:szCs w:val="20"/>
          <w:lang w:val="en-US"/>
        </w:rPr>
        <w:t>264-265.</w:t>
      </w:r>
      <w:r w:rsidR="003E11CD">
        <w:rPr>
          <w:rFonts w:cs="Arial"/>
          <w:sz w:val="20"/>
          <w:szCs w:val="20"/>
          <w:lang w:val="en-US"/>
        </w:rPr>
        <w:t xml:space="preserve"> </w:t>
      </w:r>
      <w:r w:rsidR="003E11CD" w:rsidRPr="003E11CD">
        <w:rPr>
          <w:rFonts w:cs="Arial"/>
          <w:sz w:val="20"/>
          <w:szCs w:val="20"/>
        </w:rPr>
        <w:t xml:space="preserve">Deres bestemmelse har selvsagt inspireret mig til titlen på </w:t>
      </w:r>
      <w:r w:rsidR="003E11CD">
        <w:rPr>
          <w:rFonts w:cs="Arial"/>
          <w:sz w:val="20"/>
          <w:szCs w:val="20"/>
        </w:rPr>
        <w:t>nærværende</w:t>
      </w:r>
      <w:r w:rsidR="003E11CD" w:rsidRPr="003E11CD">
        <w:rPr>
          <w:rFonts w:cs="Arial"/>
          <w:sz w:val="20"/>
          <w:szCs w:val="20"/>
        </w:rPr>
        <w:t xml:space="preserve"> artikel.</w:t>
      </w:r>
    </w:p>
  </w:footnote>
  <w:footnote w:id="38">
    <w:p w14:paraId="784E3B87" w14:textId="16AB4665" w:rsidR="00FD3468" w:rsidRPr="00954669" w:rsidRDefault="000D1210" w:rsidP="00A91732">
      <w:pPr>
        <w:pStyle w:val="Fodnotetekst"/>
        <w:contextualSpacing/>
        <w:rPr>
          <w:color w:val="333333"/>
          <w:sz w:val="20"/>
          <w:szCs w:val="20"/>
          <w:shd w:val="clear" w:color="auto" w:fill="FFFFFF"/>
          <w:lang w:eastAsia="da-DK"/>
        </w:rPr>
      </w:pPr>
      <w:r w:rsidRPr="00954669">
        <w:rPr>
          <w:rStyle w:val="Fodnotehenvisning"/>
          <w:rFonts w:cs="Arial"/>
          <w:sz w:val="20"/>
          <w:szCs w:val="20"/>
        </w:rPr>
        <w:footnoteRef/>
      </w:r>
      <w:r w:rsidRPr="00954669">
        <w:rPr>
          <w:rFonts w:cs="Arial"/>
          <w:sz w:val="20"/>
          <w:szCs w:val="20"/>
        </w:rPr>
        <w:t xml:space="preserve"> Titlen og den indledende rammesætning trækker på Niels Lehmanns diskussion af dannelsesbegrebet som en ’pragmatisk dualisme’ mellem rationalitet og rationalitetskritik</w:t>
      </w:r>
      <w:r w:rsidR="00FD3468" w:rsidRPr="00954669">
        <w:rPr>
          <w:rFonts w:cs="Arial"/>
          <w:sz w:val="20"/>
          <w:szCs w:val="20"/>
        </w:rPr>
        <w:t xml:space="preserve">, se </w:t>
      </w:r>
      <w:r w:rsidR="00954669" w:rsidRPr="00954669">
        <w:rPr>
          <w:rFonts w:cs="Arial"/>
          <w:sz w:val="20"/>
          <w:szCs w:val="20"/>
        </w:rPr>
        <w:t xml:space="preserve">Niels </w:t>
      </w:r>
      <w:r w:rsidR="00954669" w:rsidRPr="00954669">
        <w:rPr>
          <w:color w:val="000000" w:themeColor="text1"/>
          <w:sz w:val="20"/>
          <w:szCs w:val="20"/>
        </w:rPr>
        <w:t>Lehmann, ”</w:t>
      </w:r>
      <w:r w:rsidR="00FD3468" w:rsidRPr="00954669">
        <w:rPr>
          <w:color w:val="333333"/>
          <w:sz w:val="20"/>
          <w:szCs w:val="20"/>
          <w:lang w:eastAsia="da-DK"/>
        </w:rPr>
        <w:t>Pragmatisk dualisme: dannelse mellem rationalitet og rationalitetskritik</w:t>
      </w:r>
      <w:r w:rsidR="00954669" w:rsidRPr="00954669">
        <w:rPr>
          <w:color w:val="333333"/>
          <w:sz w:val="20"/>
          <w:szCs w:val="20"/>
          <w:lang w:eastAsia="da-DK"/>
        </w:rPr>
        <w:t>”, in: Martin Blok Johansen</w:t>
      </w:r>
      <w:r w:rsidR="00FD3468" w:rsidRPr="00954669">
        <w:rPr>
          <w:color w:val="333333"/>
          <w:sz w:val="20"/>
          <w:szCs w:val="20"/>
          <w:lang w:eastAsia="da-DK"/>
        </w:rPr>
        <w:t xml:space="preserve">, </w:t>
      </w:r>
      <w:r w:rsidR="00FD3468" w:rsidRPr="00954669">
        <w:rPr>
          <w:i/>
          <w:color w:val="333333"/>
          <w:sz w:val="20"/>
          <w:szCs w:val="20"/>
          <w:lang w:eastAsia="da-DK"/>
        </w:rPr>
        <w:t>Dannelse</w:t>
      </w:r>
      <w:r w:rsidR="00954669" w:rsidRPr="00954669">
        <w:rPr>
          <w:color w:val="333333"/>
          <w:sz w:val="20"/>
          <w:szCs w:val="20"/>
          <w:lang w:eastAsia="da-DK"/>
        </w:rPr>
        <w:t xml:space="preserve"> (</w:t>
      </w:r>
      <w:r w:rsidR="00FD3468" w:rsidRPr="00954669">
        <w:rPr>
          <w:color w:val="333333"/>
          <w:sz w:val="20"/>
          <w:szCs w:val="20"/>
          <w:shd w:val="clear" w:color="auto" w:fill="FFFFFF"/>
          <w:lang w:eastAsia="da-DK"/>
        </w:rPr>
        <w:t>Aarhus: Aarhus Universitetsforlag</w:t>
      </w:r>
      <w:r w:rsidR="00954669" w:rsidRPr="00954669">
        <w:rPr>
          <w:color w:val="333333"/>
          <w:sz w:val="20"/>
          <w:szCs w:val="20"/>
          <w:shd w:val="clear" w:color="auto" w:fill="FFFFFF"/>
          <w:lang w:eastAsia="da-DK"/>
        </w:rPr>
        <w:t>, 2002), 257-275.</w:t>
      </w:r>
    </w:p>
  </w:footnote>
  <w:footnote w:id="39">
    <w:p w14:paraId="5B394223" w14:textId="59F6FEBB" w:rsidR="002C1936" w:rsidRPr="002C1936" w:rsidRDefault="000D1210" w:rsidP="00A91732">
      <w:pPr>
        <w:pStyle w:val="Fodnotetekst"/>
        <w:contextualSpacing/>
        <w:rPr>
          <w:rFonts w:cs="Aparajita"/>
          <w:sz w:val="20"/>
          <w:szCs w:val="20"/>
          <w:lang w:val="en-US"/>
        </w:rPr>
      </w:pPr>
      <w:r w:rsidRPr="002C1936">
        <w:rPr>
          <w:rStyle w:val="Fodnotehenvisning"/>
          <w:rFonts w:cs="Arial"/>
          <w:sz w:val="20"/>
          <w:szCs w:val="20"/>
        </w:rPr>
        <w:footnoteRef/>
      </w:r>
      <w:r w:rsidRPr="002C1936">
        <w:rPr>
          <w:rFonts w:cs="Arial"/>
          <w:sz w:val="20"/>
          <w:szCs w:val="20"/>
        </w:rPr>
        <w:t xml:space="preserve"> </w:t>
      </w:r>
      <w:r w:rsidRPr="002C1936">
        <w:rPr>
          <w:rFonts w:eastAsiaTheme="minorEastAsia" w:cs="Arial"/>
          <w:color w:val="000000"/>
          <w:sz w:val="20"/>
          <w:szCs w:val="20"/>
          <w:lang w:eastAsia="da-DK"/>
        </w:rPr>
        <w:t xml:space="preserve">Fremgangsmåden søger inspiration hos </w:t>
      </w:r>
      <w:r w:rsidR="002C1936" w:rsidRPr="002C1936">
        <w:rPr>
          <w:rFonts w:cs="Aparajita"/>
          <w:sz w:val="20"/>
          <w:szCs w:val="20"/>
        </w:rPr>
        <w:t xml:space="preserve">Bruce </w:t>
      </w:r>
      <w:proofErr w:type="spellStart"/>
      <w:r w:rsidR="002C1936" w:rsidRPr="002C1936">
        <w:rPr>
          <w:rFonts w:cs="Aparajita"/>
          <w:sz w:val="20"/>
          <w:szCs w:val="20"/>
        </w:rPr>
        <w:t>McLaren</w:t>
      </w:r>
      <w:proofErr w:type="spellEnd"/>
      <w:r w:rsidR="00FD3468" w:rsidRPr="002C1936">
        <w:rPr>
          <w:rFonts w:cs="Aparajita"/>
          <w:sz w:val="20"/>
          <w:szCs w:val="20"/>
        </w:rPr>
        <w:t xml:space="preserve"> &amp; </w:t>
      </w:r>
      <w:r w:rsidR="002C1936" w:rsidRPr="002C1936">
        <w:rPr>
          <w:rFonts w:cs="Aparajita"/>
          <w:sz w:val="20"/>
          <w:szCs w:val="20"/>
        </w:rPr>
        <w:t>Kevin Ashley, ”</w:t>
      </w:r>
      <w:r w:rsidR="00FD3468" w:rsidRPr="002C1936">
        <w:rPr>
          <w:rFonts w:cs="Aparajita"/>
          <w:sz w:val="20"/>
          <w:szCs w:val="20"/>
        </w:rPr>
        <w:t xml:space="preserve">Case </w:t>
      </w:r>
      <w:proofErr w:type="spellStart"/>
      <w:r w:rsidR="00FD3468" w:rsidRPr="002C1936">
        <w:rPr>
          <w:rFonts w:cs="Aparajita"/>
          <w:sz w:val="20"/>
          <w:szCs w:val="20"/>
        </w:rPr>
        <w:t>Representation</w:t>
      </w:r>
      <w:proofErr w:type="spellEnd"/>
      <w:r w:rsidR="00FD3468" w:rsidRPr="002C1936">
        <w:rPr>
          <w:rFonts w:cs="Aparajita"/>
          <w:sz w:val="20"/>
          <w:szCs w:val="20"/>
        </w:rPr>
        <w:t xml:space="preserve">, </w:t>
      </w:r>
      <w:proofErr w:type="spellStart"/>
      <w:r w:rsidR="00FD3468" w:rsidRPr="002C1936">
        <w:rPr>
          <w:rFonts w:cs="Aparajita"/>
          <w:sz w:val="20"/>
          <w:szCs w:val="20"/>
        </w:rPr>
        <w:t>Acquisition</w:t>
      </w:r>
      <w:proofErr w:type="spellEnd"/>
      <w:r w:rsidR="00FD3468" w:rsidRPr="002C1936">
        <w:rPr>
          <w:rFonts w:cs="Aparajita"/>
          <w:sz w:val="20"/>
          <w:szCs w:val="20"/>
        </w:rPr>
        <w:t xml:space="preserve">, and </w:t>
      </w:r>
      <w:proofErr w:type="spellStart"/>
      <w:r w:rsidR="00FD3468" w:rsidRPr="002C1936">
        <w:rPr>
          <w:rFonts w:cs="Aparajita"/>
          <w:sz w:val="20"/>
          <w:szCs w:val="20"/>
        </w:rPr>
        <w:t>Retrieval</w:t>
      </w:r>
      <w:proofErr w:type="spellEnd"/>
      <w:r w:rsidR="00FD3468" w:rsidRPr="002C1936">
        <w:rPr>
          <w:rFonts w:cs="Aparajita"/>
          <w:sz w:val="20"/>
          <w:szCs w:val="20"/>
        </w:rPr>
        <w:t xml:space="preserve"> in SIROCCO</w:t>
      </w:r>
      <w:r w:rsidR="002C1936" w:rsidRPr="002C1936">
        <w:rPr>
          <w:rFonts w:cs="Aparajita"/>
          <w:sz w:val="20"/>
          <w:szCs w:val="20"/>
        </w:rPr>
        <w:t xml:space="preserve">”, in: Klaus-Dieter </w:t>
      </w:r>
      <w:proofErr w:type="spellStart"/>
      <w:r w:rsidR="002C1936" w:rsidRPr="002C1936">
        <w:rPr>
          <w:rFonts w:cs="Aparajita"/>
          <w:sz w:val="20"/>
          <w:szCs w:val="20"/>
        </w:rPr>
        <w:t>Althoff</w:t>
      </w:r>
      <w:proofErr w:type="spellEnd"/>
      <w:r w:rsidR="00FD3468" w:rsidRPr="002C1936">
        <w:rPr>
          <w:rFonts w:cs="Aparajita"/>
          <w:sz w:val="20"/>
          <w:szCs w:val="20"/>
        </w:rPr>
        <w:t xml:space="preserve">, </w:t>
      </w:r>
      <w:r w:rsidR="002C1936" w:rsidRPr="002C1936">
        <w:rPr>
          <w:rFonts w:cs="Aparajita"/>
          <w:sz w:val="20"/>
          <w:szCs w:val="20"/>
        </w:rPr>
        <w:t xml:space="preserve">Ralph </w:t>
      </w:r>
      <w:r w:rsidR="00FD3468" w:rsidRPr="002C1936">
        <w:rPr>
          <w:rFonts w:cs="Aparajita"/>
          <w:sz w:val="20"/>
          <w:szCs w:val="20"/>
        </w:rPr>
        <w:t>Berg</w:t>
      </w:r>
      <w:r w:rsidR="002C1936" w:rsidRPr="002C1936">
        <w:rPr>
          <w:rFonts w:cs="Aparajita"/>
          <w:sz w:val="20"/>
          <w:szCs w:val="20"/>
        </w:rPr>
        <w:t>mann &amp; Luther Branting</w:t>
      </w:r>
      <w:r w:rsidR="00FD3468" w:rsidRPr="002C1936">
        <w:rPr>
          <w:rFonts w:cs="Aparajita"/>
          <w:sz w:val="20"/>
          <w:szCs w:val="20"/>
        </w:rPr>
        <w:t xml:space="preserve">, </w:t>
      </w:r>
      <w:r w:rsidR="00FD3468" w:rsidRPr="002C1936">
        <w:rPr>
          <w:rFonts w:cs="Aparajita"/>
          <w:i/>
          <w:sz w:val="20"/>
          <w:szCs w:val="20"/>
        </w:rPr>
        <w:t>Case-</w:t>
      </w:r>
      <w:proofErr w:type="spellStart"/>
      <w:r w:rsidR="00FD3468" w:rsidRPr="002C1936">
        <w:rPr>
          <w:rFonts w:cs="Aparajita"/>
          <w:i/>
          <w:sz w:val="20"/>
          <w:szCs w:val="20"/>
        </w:rPr>
        <w:t>Based</w:t>
      </w:r>
      <w:proofErr w:type="spellEnd"/>
      <w:r w:rsidR="00FD3468" w:rsidRPr="002C1936">
        <w:rPr>
          <w:rFonts w:cs="Aparajita"/>
          <w:i/>
          <w:sz w:val="20"/>
          <w:szCs w:val="20"/>
        </w:rPr>
        <w:t xml:space="preserve"> Reasoning Research and </w:t>
      </w:r>
      <w:r w:rsidR="00485842" w:rsidRPr="002C1936">
        <w:rPr>
          <w:rFonts w:cs="Aparajita"/>
          <w:sz w:val="20"/>
          <w:szCs w:val="20"/>
        </w:rPr>
        <w:t>Development</w:t>
      </w:r>
      <w:r w:rsidR="00FD3468" w:rsidRPr="002C1936">
        <w:rPr>
          <w:rFonts w:cs="Aparajita"/>
          <w:sz w:val="20"/>
          <w:szCs w:val="20"/>
        </w:rPr>
        <w:t xml:space="preserve"> </w:t>
      </w:r>
      <w:r w:rsidR="00485842" w:rsidRPr="002C1936">
        <w:rPr>
          <w:rFonts w:cs="Aparajita"/>
          <w:sz w:val="20"/>
          <w:szCs w:val="20"/>
        </w:rPr>
        <w:t>(Berlin: Springer, 1999), 248-262</w:t>
      </w:r>
      <w:r w:rsidR="002C1936" w:rsidRPr="002C1936">
        <w:rPr>
          <w:rFonts w:cs="Aparajita"/>
          <w:sz w:val="20"/>
          <w:szCs w:val="20"/>
        </w:rPr>
        <w:t xml:space="preserve"> </w:t>
      </w:r>
      <w:r w:rsidR="00FD3468" w:rsidRPr="002C1936">
        <w:rPr>
          <w:rFonts w:eastAsiaTheme="minorEastAsia" w:cs="Arial"/>
          <w:color w:val="000000"/>
          <w:sz w:val="20"/>
          <w:szCs w:val="20"/>
          <w:lang w:eastAsia="da-DK"/>
        </w:rPr>
        <w:t xml:space="preserve">og står i særlig gæld til </w:t>
      </w:r>
      <w:r w:rsidR="002C1936" w:rsidRPr="002C1936">
        <w:rPr>
          <w:rFonts w:eastAsiaTheme="minorEastAsia" w:cs="Arial"/>
          <w:color w:val="000000"/>
          <w:sz w:val="20"/>
          <w:szCs w:val="20"/>
          <w:lang w:eastAsia="da-DK"/>
        </w:rPr>
        <w:t xml:space="preserve">Per </w:t>
      </w:r>
      <w:r w:rsidR="002C1936" w:rsidRPr="002C1936">
        <w:rPr>
          <w:color w:val="000000" w:themeColor="text1"/>
          <w:sz w:val="20"/>
          <w:szCs w:val="20"/>
        </w:rPr>
        <w:t xml:space="preserve">Strand </w:t>
      </w:r>
      <w:r w:rsidR="00FD3468" w:rsidRPr="002C1936">
        <w:rPr>
          <w:color w:val="000000" w:themeColor="text1"/>
          <w:sz w:val="20"/>
          <w:szCs w:val="20"/>
        </w:rPr>
        <w:t xml:space="preserve">&amp; </w:t>
      </w:r>
      <w:proofErr w:type="spellStart"/>
      <w:r w:rsidR="002C1936" w:rsidRPr="002C1936">
        <w:rPr>
          <w:color w:val="000000" w:themeColor="text1"/>
          <w:sz w:val="20"/>
          <w:szCs w:val="20"/>
        </w:rPr>
        <w:t>Åshild</w:t>
      </w:r>
      <w:proofErr w:type="spellEnd"/>
      <w:r w:rsidR="002C1936" w:rsidRPr="002C1936">
        <w:rPr>
          <w:color w:val="000000" w:themeColor="text1"/>
          <w:sz w:val="20"/>
          <w:szCs w:val="20"/>
        </w:rPr>
        <w:t xml:space="preserve"> </w:t>
      </w:r>
      <w:proofErr w:type="spellStart"/>
      <w:r w:rsidR="002C1936" w:rsidRPr="002C1936">
        <w:rPr>
          <w:color w:val="000000" w:themeColor="text1"/>
          <w:sz w:val="20"/>
          <w:szCs w:val="20"/>
        </w:rPr>
        <w:t>Slettebø</w:t>
      </w:r>
      <w:proofErr w:type="spellEnd"/>
      <w:r w:rsidR="002C1936" w:rsidRPr="002C1936">
        <w:rPr>
          <w:color w:val="000000" w:themeColor="text1"/>
          <w:sz w:val="20"/>
          <w:szCs w:val="20"/>
        </w:rPr>
        <w:t>,</w:t>
      </w:r>
      <w:r w:rsidR="00FD3468" w:rsidRPr="002C1936">
        <w:rPr>
          <w:color w:val="000000" w:themeColor="text1"/>
          <w:sz w:val="20"/>
          <w:szCs w:val="20"/>
        </w:rPr>
        <w:t xml:space="preserve"> </w:t>
      </w:r>
      <w:proofErr w:type="spellStart"/>
      <w:r w:rsidR="00FD3468" w:rsidRPr="002C1936">
        <w:rPr>
          <w:i/>
          <w:color w:val="000000" w:themeColor="text1"/>
          <w:sz w:val="20"/>
          <w:szCs w:val="20"/>
        </w:rPr>
        <w:t>Grunnleggende</w:t>
      </w:r>
      <w:proofErr w:type="spellEnd"/>
      <w:r w:rsidR="00FD3468" w:rsidRPr="002C1936">
        <w:rPr>
          <w:i/>
          <w:color w:val="000000" w:themeColor="text1"/>
          <w:sz w:val="20"/>
          <w:szCs w:val="20"/>
        </w:rPr>
        <w:t xml:space="preserve"> </w:t>
      </w:r>
      <w:proofErr w:type="spellStart"/>
      <w:r w:rsidR="00FD3468" w:rsidRPr="002C1936">
        <w:rPr>
          <w:i/>
          <w:color w:val="000000" w:themeColor="text1"/>
          <w:sz w:val="20"/>
          <w:szCs w:val="20"/>
        </w:rPr>
        <w:t>verdier</w:t>
      </w:r>
      <w:proofErr w:type="spellEnd"/>
      <w:r w:rsidR="00FD3468" w:rsidRPr="002C1936">
        <w:rPr>
          <w:i/>
          <w:color w:val="000000" w:themeColor="text1"/>
          <w:sz w:val="20"/>
          <w:szCs w:val="20"/>
        </w:rPr>
        <w:t xml:space="preserve">, moral og </w:t>
      </w:r>
      <w:proofErr w:type="spellStart"/>
      <w:r w:rsidR="00FD3468" w:rsidRPr="002C1936">
        <w:rPr>
          <w:i/>
          <w:color w:val="000000" w:themeColor="text1"/>
          <w:sz w:val="20"/>
          <w:szCs w:val="20"/>
        </w:rPr>
        <w:t>etikk</w:t>
      </w:r>
      <w:proofErr w:type="spellEnd"/>
      <w:r w:rsidR="002C1936" w:rsidRPr="002C1936">
        <w:rPr>
          <w:color w:val="000000" w:themeColor="text1"/>
          <w:sz w:val="20"/>
          <w:szCs w:val="20"/>
        </w:rPr>
        <w:t xml:space="preserve"> (</w:t>
      </w:r>
      <w:r w:rsidR="00FD3468" w:rsidRPr="002C1936">
        <w:rPr>
          <w:color w:val="000000" w:themeColor="text1"/>
          <w:sz w:val="20"/>
          <w:szCs w:val="20"/>
        </w:rPr>
        <w:t>Oslo: Politidirektoratet</w:t>
      </w:r>
      <w:r w:rsidR="002C1936" w:rsidRPr="002C1936">
        <w:rPr>
          <w:color w:val="000000" w:themeColor="text1"/>
          <w:sz w:val="20"/>
          <w:szCs w:val="20"/>
        </w:rPr>
        <w:t>, 2012)</w:t>
      </w:r>
      <w:r w:rsidR="00FD3468" w:rsidRPr="002C1936">
        <w:rPr>
          <w:color w:val="000000" w:themeColor="text1"/>
          <w:sz w:val="20"/>
          <w:szCs w:val="20"/>
        </w:rPr>
        <w:t xml:space="preserve">. </w:t>
      </w:r>
      <w:r w:rsidR="00FD3468" w:rsidRPr="002C1936">
        <w:rPr>
          <w:rFonts w:cs="Tahoma"/>
          <w:color w:val="000000" w:themeColor="text1"/>
          <w:sz w:val="20"/>
          <w:szCs w:val="20"/>
          <w:lang w:val="en-US"/>
        </w:rPr>
        <w:t>Retrieved 16.01.18</w:t>
      </w:r>
      <w:r w:rsidR="00FD3468" w:rsidRPr="002C1936">
        <w:rPr>
          <w:color w:val="000000" w:themeColor="text1"/>
          <w:sz w:val="20"/>
          <w:szCs w:val="20"/>
          <w:lang w:val="en-US"/>
        </w:rPr>
        <w:t xml:space="preserve"> from https://www.politi.no/vedlegg/rapport/Vedlegg_1939.pdf.</w:t>
      </w:r>
    </w:p>
  </w:footnote>
  <w:footnote w:id="40">
    <w:p w14:paraId="6027BB56" w14:textId="38B944E0" w:rsidR="004764D9" w:rsidRPr="00A91732" w:rsidRDefault="000D1210" w:rsidP="00A91732">
      <w:pPr>
        <w:pStyle w:val="Fodnotetekst"/>
        <w:contextualSpacing/>
        <w:rPr>
          <w:rFonts w:cs="Aparajita"/>
          <w:sz w:val="20"/>
          <w:szCs w:val="20"/>
          <w:lang w:val="en-US"/>
        </w:rPr>
      </w:pPr>
      <w:r w:rsidRPr="00A91732">
        <w:rPr>
          <w:rStyle w:val="Fodnotehenvisning"/>
          <w:sz w:val="20"/>
          <w:szCs w:val="20"/>
        </w:rPr>
        <w:footnoteRef/>
      </w:r>
      <w:r w:rsidRPr="00A91732">
        <w:rPr>
          <w:sz w:val="20"/>
          <w:szCs w:val="20"/>
        </w:rPr>
        <w:t xml:space="preserve"> </w:t>
      </w:r>
      <w:r w:rsidR="004764D9" w:rsidRPr="00A91732">
        <w:rPr>
          <w:rFonts w:cs="Aparajita"/>
          <w:sz w:val="20"/>
          <w:szCs w:val="20"/>
        </w:rPr>
        <w:t>J</w:t>
      </w:r>
      <w:r w:rsidRPr="00A91732">
        <w:rPr>
          <w:rFonts w:cs="Aparajita"/>
          <w:sz w:val="20"/>
          <w:szCs w:val="20"/>
        </w:rPr>
        <w:t xml:space="preserve">f. </w:t>
      </w:r>
      <w:r w:rsidR="004764D9" w:rsidRPr="00A91732">
        <w:rPr>
          <w:rFonts w:cs="Tahoma"/>
          <w:bCs/>
          <w:color w:val="000000" w:themeColor="text1"/>
          <w:sz w:val="20"/>
          <w:szCs w:val="20"/>
        </w:rPr>
        <w:t xml:space="preserve">BEK nr. 695 af 12/06/2013: </w:t>
      </w:r>
      <w:r w:rsidR="004764D9" w:rsidRPr="00A91732">
        <w:rPr>
          <w:rFonts w:cs="Tahoma"/>
          <w:i/>
          <w:color w:val="000000" w:themeColor="text1"/>
          <w:sz w:val="20"/>
          <w:szCs w:val="20"/>
        </w:rPr>
        <w:t xml:space="preserve">Bekendtgørelse om god klinisk praksis i forbindelse med kliniske forsøg med lægemidler på menneske </w:t>
      </w:r>
      <w:r w:rsidR="004764D9" w:rsidRPr="00A91732">
        <w:rPr>
          <w:rFonts w:cs="Tahoma"/>
          <w:color w:val="000000" w:themeColor="text1"/>
          <w:sz w:val="20"/>
          <w:szCs w:val="20"/>
        </w:rPr>
        <w:t>(GCP-Bekendtgørelsen</w:t>
      </w:r>
      <w:r w:rsidR="004764D9" w:rsidRPr="00A91732">
        <w:rPr>
          <w:rFonts w:cs="Tahoma"/>
          <w:sz w:val="20"/>
          <w:szCs w:val="20"/>
        </w:rPr>
        <w:t>; §13, stk. 3</w:t>
      </w:r>
      <w:r w:rsidR="004764D9" w:rsidRPr="00A91732">
        <w:rPr>
          <w:rFonts w:cs="Tahoma"/>
          <w:color w:val="000000" w:themeColor="text1"/>
          <w:sz w:val="20"/>
          <w:szCs w:val="20"/>
        </w:rPr>
        <w:t xml:space="preserve">). </w:t>
      </w:r>
      <w:r w:rsidR="004764D9" w:rsidRPr="00A91732">
        <w:rPr>
          <w:rFonts w:cs="Tahoma"/>
          <w:color w:val="000000" w:themeColor="text1"/>
          <w:sz w:val="20"/>
          <w:szCs w:val="20"/>
          <w:lang w:val="en-US"/>
        </w:rPr>
        <w:t xml:space="preserve">Retrieved 16.01.18 from </w:t>
      </w:r>
      <w:hyperlink r:id="rId1" w:history="1">
        <w:r w:rsidR="004764D9" w:rsidRPr="00A91732">
          <w:rPr>
            <w:rStyle w:val="Llink"/>
            <w:rFonts w:eastAsiaTheme="majorEastAsia" w:cs="Tahoma"/>
            <w:color w:val="000000" w:themeColor="text1"/>
            <w:sz w:val="20"/>
            <w:szCs w:val="20"/>
            <w:lang w:val="en-US"/>
          </w:rPr>
          <w:t>https://www.retsinformation.dk/forms/R0710.aspx?id=152402</w:t>
        </w:r>
      </w:hyperlink>
      <w:r w:rsidR="004764D9" w:rsidRPr="00A91732">
        <w:rPr>
          <w:rFonts w:cs="Tahoma"/>
          <w:color w:val="000000" w:themeColor="text1"/>
          <w:sz w:val="20"/>
          <w:szCs w:val="20"/>
          <w:lang w:val="en-US"/>
        </w:rPr>
        <w:t xml:space="preserve">. </w:t>
      </w:r>
    </w:p>
  </w:footnote>
  <w:footnote w:id="41">
    <w:p w14:paraId="043C3129" w14:textId="0AA9F9EC" w:rsidR="004764D9" w:rsidRPr="00A91732" w:rsidRDefault="000D1210" w:rsidP="00A91732">
      <w:pPr>
        <w:pStyle w:val="Fodnotetekst"/>
        <w:contextualSpacing/>
        <w:rPr>
          <w:rFonts w:cs="Times"/>
          <w:sz w:val="20"/>
          <w:szCs w:val="20"/>
          <w:lang w:val="en-US"/>
        </w:rPr>
      </w:pPr>
      <w:r w:rsidRPr="00A91732">
        <w:rPr>
          <w:rStyle w:val="Fodnotehenvisning"/>
          <w:sz w:val="20"/>
          <w:szCs w:val="20"/>
        </w:rPr>
        <w:footnoteRef/>
      </w:r>
      <w:r w:rsidRPr="00A91732">
        <w:rPr>
          <w:sz w:val="20"/>
          <w:szCs w:val="20"/>
          <w:lang w:val="en-US"/>
        </w:rPr>
        <w:t xml:space="preserve"> </w:t>
      </w:r>
      <w:r w:rsidR="000C0D50" w:rsidRPr="00A91732">
        <w:rPr>
          <w:rFonts w:cs="Times"/>
          <w:color w:val="000000" w:themeColor="text1"/>
          <w:sz w:val="20"/>
          <w:szCs w:val="20"/>
          <w:lang w:val="en-US"/>
        </w:rPr>
        <w:t xml:space="preserve">Robert </w:t>
      </w:r>
      <w:r w:rsidR="00D0258F" w:rsidRPr="00A91732">
        <w:rPr>
          <w:rFonts w:cs="Times"/>
          <w:color w:val="000000" w:themeColor="text1"/>
          <w:sz w:val="20"/>
          <w:szCs w:val="20"/>
          <w:lang w:val="en-US"/>
        </w:rPr>
        <w:t>Ros</w:t>
      </w:r>
      <w:r w:rsidR="000C0D50" w:rsidRPr="00A91732">
        <w:rPr>
          <w:rFonts w:cs="Times"/>
          <w:color w:val="000000" w:themeColor="text1"/>
          <w:sz w:val="20"/>
          <w:szCs w:val="20"/>
          <w:lang w:val="en-US"/>
        </w:rPr>
        <w:t xml:space="preserve">enthal </w:t>
      </w:r>
      <w:r w:rsidR="00D0258F" w:rsidRPr="00A91732">
        <w:rPr>
          <w:rFonts w:cs="Times"/>
          <w:color w:val="000000" w:themeColor="text1"/>
          <w:sz w:val="20"/>
          <w:szCs w:val="20"/>
          <w:lang w:val="en-US"/>
        </w:rPr>
        <w:t xml:space="preserve">&amp; </w:t>
      </w:r>
      <w:r w:rsidR="000C0D50" w:rsidRPr="00A91732">
        <w:rPr>
          <w:rFonts w:cs="Times"/>
          <w:color w:val="000000" w:themeColor="text1"/>
          <w:sz w:val="20"/>
          <w:szCs w:val="20"/>
          <w:lang w:val="en-US"/>
        </w:rPr>
        <w:t xml:space="preserve">Lenore </w:t>
      </w:r>
      <w:r w:rsidR="00D0258F" w:rsidRPr="00A91732">
        <w:rPr>
          <w:rFonts w:cs="Times"/>
          <w:color w:val="000000" w:themeColor="text1"/>
          <w:sz w:val="20"/>
          <w:szCs w:val="20"/>
          <w:lang w:val="en-US"/>
        </w:rPr>
        <w:t xml:space="preserve">Jacobson, </w:t>
      </w:r>
      <w:r w:rsidR="00D0258F" w:rsidRPr="00A91732">
        <w:rPr>
          <w:rFonts w:cs="Times"/>
          <w:i/>
          <w:iCs/>
          <w:color w:val="000000" w:themeColor="text1"/>
          <w:sz w:val="20"/>
          <w:szCs w:val="20"/>
          <w:lang w:val="en-US"/>
        </w:rPr>
        <w:t>Pygmalion in the Classroom: Teacher Expectation and Pupils’ Intellectual Development</w:t>
      </w:r>
      <w:r w:rsidR="00D0258F" w:rsidRPr="00A91732">
        <w:rPr>
          <w:rFonts w:cs="Times"/>
          <w:color w:val="000000" w:themeColor="text1"/>
          <w:sz w:val="20"/>
          <w:szCs w:val="20"/>
          <w:lang w:val="en-US"/>
        </w:rPr>
        <w:t xml:space="preserve"> (New York/London: Holt, Rinehart and Winston, 1968). </w:t>
      </w:r>
    </w:p>
  </w:footnote>
  <w:footnote w:id="42">
    <w:p w14:paraId="0B6DEDA1" w14:textId="7C078381" w:rsidR="002C1936" w:rsidRPr="002C1936" w:rsidRDefault="000D1210" w:rsidP="00A91732">
      <w:pPr>
        <w:pStyle w:val="Fodnotetekst"/>
        <w:contextualSpacing/>
        <w:rPr>
          <w:color w:val="000000" w:themeColor="text1"/>
          <w:sz w:val="20"/>
          <w:szCs w:val="20"/>
          <w:lang w:val="en-US"/>
        </w:rPr>
      </w:pPr>
      <w:r w:rsidRPr="002C1936">
        <w:rPr>
          <w:rStyle w:val="Fodnotehenvisning"/>
          <w:sz w:val="20"/>
          <w:szCs w:val="20"/>
        </w:rPr>
        <w:footnoteRef/>
      </w:r>
      <w:r w:rsidRPr="002C1936">
        <w:rPr>
          <w:sz w:val="20"/>
          <w:szCs w:val="20"/>
          <w:lang w:val="en-US"/>
        </w:rPr>
        <w:t xml:space="preserve"> </w:t>
      </w:r>
      <w:proofErr w:type="spellStart"/>
      <w:r w:rsidR="002C1936" w:rsidRPr="002C1936">
        <w:rPr>
          <w:sz w:val="20"/>
          <w:szCs w:val="20"/>
          <w:lang w:val="en-US"/>
        </w:rPr>
        <w:t>Glennys</w:t>
      </w:r>
      <w:proofErr w:type="spellEnd"/>
      <w:r w:rsidR="002C1936" w:rsidRPr="002C1936">
        <w:rPr>
          <w:sz w:val="20"/>
          <w:szCs w:val="20"/>
          <w:lang w:val="en-US"/>
        </w:rPr>
        <w:t xml:space="preserve"> </w:t>
      </w:r>
      <w:proofErr w:type="spellStart"/>
      <w:r w:rsidR="002C1936" w:rsidRPr="002C1936">
        <w:rPr>
          <w:color w:val="000000" w:themeColor="text1"/>
          <w:sz w:val="20"/>
          <w:szCs w:val="20"/>
          <w:lang w:val="en-US"/>
        </w:rPr>
        <w:t>Howarth</w:t>
      </w:r>
      <w:proofErr w:type="spellEnd"/>
      <w:r w:rsidR="002C1936" w:rsidRPr="002C1936">
        <w:rPr>
          <w:color w:val="000000" w:themeColor="text1"/>
          <w:sz w:val="20"/>
          <w:szCs w:val="20"/>
          <w:lang w:val="en-US"/>
        </w:rPr>
        <w:t>,</w:t>
      </w:r>
      <w:r w:rsidR="000C0D50" w:rsidRPr="002C1936">
        <w:rPr>
          <w:color w:val="000000" w:themeColor="text1"/>
          <w:sz w:val="20"/>
          <w:szCs w:val="20"/>
          <w:lang w:val="en-US"/>
        </w:rPr>
        <w:t xml:space="preserve"> </w:t>
      </w:r>
      <w:r w:rsidR="002C1936" w:rsidRPr="002C1936">
        <w:rPr>
          <w:color w:val="000000" w:themeColor="text1"/>
          <w:sz w:val="20"/>
          <w:szCs w:val="20"/>
          <w:lang w:val="en-US"/>
        </w:rPr>
        <w:t>“</w:t>
      </w:r>
      <w:r w:rsidR="000C0D50" w:rsidRPr="002C1936">
        <w:rPr>
          <w:color w:val="000000" w:themeColor="text1"/>
          <w:sz w:val="20"/>
          <w:szCs w:val="20"/>
          <w:lang w:val="en-US"/>
        </w:rPr>
        <w:t xml:space="preserve">Investigating </w:t>
      </w:r>
      <w:proofErr w:type="spellStart"/>
      <w:r w:rsidR="000C0D50" w:rsidRPr="002C1936">
        <w:rPr>
          <w:color w:val="000000" w:themeColor="text1"/>
          <w:sz w:val="20"/>
          <w:szCs w:val="20"/>
          <w:lang w:val="en-US"/>
        </w:rPr>
        <w:t>Deathwork</w:t>
      </w:r>
      <w:proofErr w:type="spellEnd"/>
      <w:r w:rsidR="000C0D50" w:rsidRPr="002C1936">
        <w:rPr>
          <w:color w:val="000000" w:themeColor="text1"/>
          <w:sz w:val="20"/>
          <w:szCs w:val="20"/>
          <w:lang w:val="en-US"/>
        </w:rPr>
        <w:t>: A Personal Account</w:t>
      </w:r>
      <w:r w:rsidR="002C1936" w:rsidRPr="002C1936">
        <w:rPr>
          <w:color w:val="000000" w:themeColor="text1"/>
          <w:sz w:val="20"/>
          <w:szCs w:val="20"/>
          <w:lang w:val="en-US"/>
        </w:rPr>
        <w:t>”, in: David Clark</w:t>
      </w:r>
      <w:r w:rsidR="000C0D50" w:rsidRPr="002C1936">
        <w:rPr>
          <w:color w:val="000000" w:themeColor="text1"/>
          <w:sz w:val="20"/>
          <w:szCs w:val="20"/>
          <w:lang w:val="en-US"/>
        </w:rPr>
        <w:t xml:space="preserve">, </w:t>
      </w:r>
      <w:r w:rsidR="000C0D50" w:rsidRPr="002C1936">
        <w:rPr>
          <w:i/>
          <w:iCs/>
          <w:color w:val="000000" w:themeColor="text1"/>
          <w:sz w:val="20"/>
          <w:szCs w:val="20"/>
          <w:lang w:val="en-US"/>
        </w:rPr>
        <w:t>The Sociology of Death: Theory, Culture, Practice</w:t>
      </w:r>
      <w:r w:rsidR="000C0D50" w:rsidRPr="002C1936">
        <w:rPr>
          <w:iCs/>
          <w:color w:val="000000" w:themeColor="text1"/>
          <w:sz w:val="20"/>
          <w:szCs w:val="20"/>
          <w:lang w:val="en-US"/>
        </w:rPr>
        <w:t xml:space="preserve"> </w:t>
      </w:r>
      <w:r w:rsidR="002C1936" w:rsidRPr="002C1936">
        <w:rPr>
          <w:iCs/>
          <w:color w:val="000000" w:themeColor="text1"/>
          <w:sz w:val="20"/>
          <w:szCs w:val="20"/>
          <w:lang w:val="en-US"/>
        </w:rPr>
        <w:t>(</w:t>
      </w:r>
      <w:r w:rsidR="000C0D50" w:rsidRPr="002C1936">
        <w:rPr>
          <w:iCs/>
          <w:color w:val="000000" w:themeColor="text1"/>
          <w:sz w:val="20"/>
          <w:szCs w:val="20"/>
          <w:lang w:val="en-US"/>
        </w:rPr>
        <w:t>London: B</w:t>
      </w:r>
      <w:r w:rsidR="000C0D50" w:rsidRPr="002C1936">
        <w:rPr>
          <w:color w:val="000000" w:themeColor="text1"/>
          <w:sz w:val="20"/>
          <w:szCs w:val="20"/>
          <w:lang w:val="en-US"/>
        </w:rPr>
        <w:t>lackwell Publishers</w:t>
      </w:r>
      <w:r w:rsidR="002C1936" w:rsidRPr="002C1936">
        <w:rPr>
          <w:color w:val="000000" w:themeColor="text1"/>
          <w:sz w:val="20"/>
          <w:szCs w:val="20"/>
          <w:lang w:val="en-US"/>
        </w:rPr>
        <w:t>, 1993), 221-237</w:t>
      </w:r>
      <w:r w:rsidR="000C0D50" w:rsidRPr="002C1936">
        <w:rPr>
          <w:color w:val="000000" w:themeColor="text1"/>
          <w:sz w:val="20"/>
          <w:szCs w:val="20"/>
          <w:lang w:val="en-US"/>
        </w:rPr>
        <w:t>.</w:t>
      </w:r>
    </w:p>
  </w:footnote>
  <w:footnote w:id="43">
    <w:p w14:paraId="2D4E3913" w14:textId="73C44AA7" w:rsidR="000C0D50" w:rsidRPr="00A91732" w:rsidRDefault="000D1210" w:rsidP="00A91732">
      <w:pPr>
        <w:pStyle w:val="Fodnotetekst"/>
        <w:contextualSpacing/>
        <w:rPr>
          <w:rFonts w:cs="Times"/>
          <w:sz w:val="20"/>
          <w:szCs w:val="20"/>
          <w:lang w:val="en-US"/>
        </w:rPr>
      </w:pPr>
      <w:r w:rsidRPr="00A91732">
        <w:rPr>
          <w:rStyle w:val="Fodnotehenvisning"/>
          <w:sz w:val="20"/>
          <w:szCs w:val="20"/>
        </w:rPr>
        <w:footnoteRef/>
      </w:r>
      <w:r w:rsidRPr="00A91732">
        <w:rPr>
          <w:sz w:val="20"/>
          <w:szCs w:val="20"/>
          <w:lang w:val="en-US"/>
        </w:rPr>
        <w:t xml:space="preserve"> </w:t>
      </w:r>
      <w:r w:rsidR="002C1936">
        <w:rPr>
          <w:sz w:val="20"/>
          <w:szCs w:val="20"/>
          <w:lang w:val="en-US"/>
        </w:rPr>
        <w:t xml:space="preserve">Shirley Brice </w:t>
      </w:r>
      <w:r w:rsidR="00D0258F" w:rsidRPr="00A91732">
        <w:rPr>
          <w:rFonts w:cs="Times"/>
          <w:sz w:val="20"/>
          <w:szCs w:val="20"/>
          <w:lang w:val="en-US"/>
        </w:rPr>
        <w:t>Heath</w:t>
      </w:r>
      <w:r w:rsidR="002C1936">
        <w:rPr>
          <w:rFonts w:cs="Times"/>
          <w:sz w:val="20"/>
          <w:szCs w:val="20"/>
          <w:lang w:val="en-US"/>
        </w:rPr>
        <w:t>,</w:t>
      </w:r>
      <w:r w:rsidR="00D0258F" w:rsidRPr="00A91732">
        <w:rPr>
          <w:rFonts w:cs="Times"/>
          <w:sz w:val="20"/>
          <w:szCs w:val="20"/>
          <w:lang w:val="en-US"/>
        </w:rPr>
        <w:t xml:space="preserve"> i</w:t>
      </w:r>
      <w:r w:rsidR="002C1936">
        <w:rPr>
          <w:rFonts w:cs="Times"/>
          <w:sz w:val="20"/>
          <w:szCs w:val="20"/>
          <w:lang w:val="en-US"/>
        </w:rPr>
        <w:t>n:</w:t>
      </w:r>
      <w:r w:rsidR="00D0258F" w:rsidRPr="00A91732">
        <w:rPr>
          <w:rFonts w:cs="Times"/>
          <w:sz w:val="20"/>
          <w:szCs w:val="20"/>
          <w:lang w:val="en-US"/>
        </w:rPr>
        <w:t xml:space="preserve"> </w:t>
      </w:r>
      <w:r w:rsidR="000C0D50" w:rsidRPr="00A91732">
        <w:rPr>
          <w:rFonts w:cs="Times"/>
          <w:sz w:val="20"/>
          <w:szCs w:val="20"/>
          <w:lang w:val="en-US"/>
        </w:rPr>
        <w:t xml:space="preserve">Jonathan </w:t>
      </w:r>
      <w:proofErr w:type="spellStart"/>
      <w:r w:rsidR="000C0D50" w:rsidRPr="00A91732">
        <w:rPr>
          <w:rFonts w:cs="Times"/>
          <w:sz w:val="20"/>
          <w:szCs w:val="20"/>
          <w:lang w:val="en-US"/>
        </w:rPr>
        <w:t>Franzen</w:t>
      </w:r>
      <w:proofErr w:type="spellEnd"/>
      <w:r w:rsidR="000C0D50" w:rsidRPr="00A91732">
        <w:rPr>
          <w:rFonts w:cs="Times"/>
          <w:sz w:val="20"/>
          <w:szCs w:val="20"/>
          <w:lang w:val="en-US"/>
        </w:rPr>
        <w:t>,</w:t>
      </w:r>
      <w:r w:rsidR="000C0D50" w:rsidRPr="00A91732">
        <w:rPr>
          <w:color w:val="000000" w:themeColor="text1"/>
          <w:sz w:val="20"/>
          <w:szCs w:val="20"/>
          <w:lang w:val="en-US"/>
        </w:rPr>
        <w:t xml:space="preserve"> </w:t>
      </w:r>
      <w:r w:rsidR="000C0D50" w:rsidRPr="00A91732">
        <w:rPr>
          <w:rFonts w:cs="Times"/>
          <w:i/>
          <w:iCs/>
          <w:color w:val="000000" w:themeColor="text1"/>
          <w:sz w:val="20"/>
          <w:szCs w:val="20"/>
          <w:lang w:val="en-US"/>
        </w:rPr>
        <w:t xml:space="preserve">How </w:t>
      </w:r>
      <w:proofErr w:type="gramStart"/>
      <w:r w:rsidR="000C0D50" w:rsidRPr="00A91732">
        <w:rPr>
          <w:rFonts w:cs="Times"/>
          <w:i/>
          <w:iCs/>
          <w:color w:val="000000" w:themeColor="text1"/>
          <w:sz w:val="20"/>
          <w:szCs w:val="20"/>
          <w:lang w:val="en-US"/>
        </w:rPr>
        <w:t>To</w:t>
      </w:r>
      <w:proofErr w:type="gramEnd"/>
      <w:r w:rsidR="000C0D50" w:rsidRPr="00A91732">
        <w:rPr>
          <w:rFonts w:cs="Times"/>
          <w:i/>
          <w:iCs/>
          <w:color w:val="000000" w:themeColor="text1"/>
          <w:sz w:val="20"/>
          <w:szCs w:val="20"/>
          <w:lang w:val="en-US"/>
        </w:rPr>
        <w:t xml:space="preserve"> Be Alone</w:t>
      </w:r>
      <w:r w:rsidR="000C0D50" w:rsidRPr="00A91732">
        <w:rPr>
          <w:color w:val="000000" w:themeColor="text1"/>
          <w:sz w:val="20"/>
          <w:szCs w:val="20"/>
          <w:lang w:val="en-US"/>
        </w:rPr>
        <w:t xml:space="preserve"> (London: Macmillan, 1996), 75.</w:t>
      </w:r>
    </w:p>
  </w:footnote>
  <w:footnote w:id="44">
    <w:p w14:paraId="737D6A4A" w14:textId="1C094529" w:rsidR="000C0D50" w:rsidRPr="00A91732" w:rsidRDefault="000D1210" w:rsidP="00A91732">
      <w:pPr>
        <w:pStyle w:val="Fodnotetekst"/>
        <w:contextualSpacing/>
        <w:rPr>
          <w:rFonts w:cs="Times"/>
          <w:sz w:val="20"/>
          <w:szCs w:val="20"/>
          <w:lang w:val="en-US"/>
        </w:rPr>
      </w:pPr>
      <w:r w:rsidRPr="00A91732">
        <w:rPr>
          <w:rStyle w:val="Fodnotehenvisning"/>
          <w:sz w:val="20"/>
          <w:szCs w:val="20"/>
        </w:rPr>
        <w:footnoteRef/>
      </w:r>
      <w:r w:rsidRPr="00A91732">
        <w:rPr>
          <w:sz w:val="20"/>
          <w:szCs w:val="20"/>
          <w:lang w:val="en-US"/>
        </w:rPr>
        <w:t xml:space="preserve"> </w:t>
      </w:r>
      <w:proofErr w:type="spellStart"/>
      <w:r w:rsidR="000C0D50" w:rsidRPr="00A91732">
        <w:rPr>
          <w:rFonts w:cs="Aparajita"/>
          <w:color w:val="000000" w:themeColor="text1"/>
          <w:sz w:val="20"/>
          <w:szCs w:val="20"/>
          <w:lang w:val="en-US"/>
        </w:rPr>
        <w:t>Fangen</w:t>
      </w:r>
      <w:proofErr w:type="spellEnd"/>
      <w:proofErr w:type="gramStart"/>
      <w:r w:rsidR="000C0D50" w:rsidRPr="00A91732">
        <w:rPr>
          <w:rFonts w:cs="Aparajita"/>
          <w:color w:val="000000" w:themeColor="text1"/>
          <w:sz w:val="20"/>
          <w:szCs w:val="20"/>
          <w:lang w:val="en-US"/>
        </w:rPr>
        <w:t>, ”</w:t>
      </w:r>
      <w:proofErr w:type="spellStart"/>
      <w:r w:rsidR="000C0D50" w:rsidRPr="00A91732">
        <w:rPr>
          <w:rFonts w:cs="Aparajita"/>
          <w:color w:val="000000" w:themeColor="text1"/>
          <w:sz w:val="20"/>
          <w:szCs w:val="20"/>
          <w:lang w:val="en-US"/>
        </w:rPr>
        <w:t>Fangens</w:t>
      </w:r>
      <w:proofErr w:type="spellEnd"/>
      <w:proofErr w:type="gramEnd"/>
      <w:r w:rsidR="000C0D50" w:rsidRPr="00A91732">
        <w:rPr>
          <w:rFonts w:cs="Aparajita"/>
          <w:color w:val="000000" w:themeColor="text1"/>
          <w:sz w:val="20"/>
          <w:szCs w:val="20"/>
          <w:lang w:val="en-US"/>
        </w:rPr>
        <w:t xml:space="preserve"> dilemma”; </w:t>
      </w:r>
      <w:proofErr w:type="spellStart"/>
      <w:r w:rsidR="000C0D50" w:rsidRPr="00A91732">
        <w:rPr>
          <w:rFonts w:cs="Aparajita"/>
          <w:color w:val="000000" w:themeColor="text1"/>
          <w:sz w:val="20"/>
          <w:szCs w:val="20"/>
          <w:lang w:val="en-US"/>
        </w:rPr>
        <w:t>Fangen</w:t>
      </w:r>
      <w:proofErr w:type="spellEnd"/>
      <w:r w:rsidR="000C0D50" w:rsidRPr="00A91732">
        <w:rPr>
          <w:rFonts w:cs="Aparajita"/>
          <w:color w:val="000000" w:themeColor="text1"/>
          <w:sz w:val="20"/>
          <w:szCs w:val="20"/>
          <w:lang w:val="en-US"/>
        </w:rPr>
        <w:t>, “Right-wing skinheads: Nostalgia and binary oppositions”.</w:t>
      </w:r>
    </w:p>
  </w:footnote>
  <w:footnote w:id="45">
    <w:p w14:paraId="25195422" w14:textId="7F04344E" w:rsidR="000C0D50" w:rsidRPr="00685AA1" w:rsidRDefault="000D1210" w:rsidP="00685AA1">
      <w:pPr>
        <w:pStyle w:val="Fodnotetekst"/>
        <w:contextualSpacing/>
        <w:rPr>
          <w:rFonts w:cs="Times"/>
          <w:sz w:val="20"/>
          <w:szCs w:val="20"/>
        </w:rPr>
      </w:pPr>
      <w:r w:rsidRPr="00685AA1">
        <w:rPr>
          <w:rStyle w:val="Fodnotehenvisning"/>
          <w:sz w:val="20"/>
          <w:szCs w:val="20"/>
        </w:rPr>
        <w:footnoteRef/>
      </w:r>
      <w:r w:rsidRPr="00685AA1">
        <w:rPr>
          <w:sz w:val="20"/>
          <w:szCs w:val="20"/>
        </w:rPr>
        <w:t xml:space="preserve"> </w:t>
      </w:r>
      <w:r w:rsidR="00685AA1" w:rsidRPr="00685AA1">
        <w:rPr>
          <w:sz w:val="20"/>
          <w:szCs w:val="20"/>
        </w:rPr>
        <w:t xml:space="preserve">Michael Hviid </w:t>
      </w:r>
      <w:r w:rsidR="00685AA1" w:rsidRPr="00685AA1">
        <w:rPr>
          <w:rFonts w:cs="Times"/>
          <w:color w:val="000000" w:themeColor="text1"/>
          <w:sz w:val="20"/>
          <w:szCs w:val="20"/>
        </w:rPr>
        <w:t>Jacobsen</w:t>
      </w:r>
      <w:r w:rsidR="000C0D50" w:rsidRPr="00685AA1">
        <w:rPr>
          <w:rFonts w:cs="Times"/>
          <w:color w:val="000000" w:themeColor="text1"/>
          <w:sz w:val="20"/>
          <w:szCs w:val="20"/>
        </w:rPr>
        <w:t xml:space="preserve"> &amp; </w:t>
      </w:r>
      <w:r w:rsidR="00685AA1" w:rsidRPr="00685AA1">
        <w:rPr>
          <w:rFonts w:cs="Times"/>
          <w:color w:val="000000" w:themeColor="text1"/>
          <w:sz w:val="20"/>
          <w:szCs w:val="20"/>
        </w:rPr>
        <w:t xml:space="preserve">Søren </w:t>
      </w:r>
      <w:r w:rsidR="000C0D50" w:rsidRPr="00685AA1">
        <w:rPr>
          <w:rFonts w:cs="Times"/>
          <w:color w:val="000000" w:themeColor="text1"/>
          <w:sz w:val="20"/>
          <w:szCs w:val="20"/>
        </w:rPr>
        <w:t xml:space="preserve">Kristiansen, </w:t>
      </w:r>
      <w:r w:rsidR="000C0D50" w:rsidRPr="00685AA1">
        <w:rPr>
          <w:rFonts w:eastAsiaTheme="minorEastAsia"/>
          <w:bCs/>
          <w:i/>
          <w:color w:val="000000" w:themeColor="text1"/>
          <w:sz w:val="20"/>
          <w:szCs w:val="20"/>
          <w:lang w:eastAsia="da-DK"/>
        </w:rPr>
        <w:t>Hvor farligt er det farlige feltarbejde?</w:t>
      </w:r>
      <w:r w:rsidR="00685AA1" w:rsidRPr="00685AA1">
        <w:rPr>
          <w:rFonts w:eastAsiaTheme="minorEastAsia"/>
          <w:bCs/>
          <w:color w:val="000000" w:themeColor="text1"/>
          <w:sz w:val="20"/>
          <w:szCs w:val="20"/>
          <w:lang w:eastAsia="da-DK"/>
        </w:rPr>
        <w:t xml:space="preserve"> Sociologisk arbejdspapir, no</w:t>
      </w:r>
      <w:r w:rsidR="000C0D50" w:rsidRPr="00685AA1">
        <w:rPr>
          <w:rFonts w:eastAsiaTheme="minorEastAsia"/>
          <w:bCs/>
          <w:color w:val="000000" w:themeColor="text1"/>
          <w:sz w:val="20"/>
          <w:szCs w:val="20"/>
          <w:lang w:eastAsia="da-DK"/>
        </w:rPr>
        <w:t>. 4, Aalborg Universitet</w:t>
      </w:r>
      <w:r w:rsidR="00685AA1" w:rsidRPr="00685AA1">
        <w:rPr>
          <w:rFonts w:eastAsiaTheme="minorEastAsia"/>
          <w:bCs/>
          <w:color w:val="000000" w:themeColor="text1"/>
          <w:sz w:val="20"/>
          <w:szCs w:val="20"/>
          <w:lang w:eastAsia="da-DK"/>
        </w:rPr>
        <w:t>, 1999), 69</w:t>
      </w:r>
      <w:r w:rsidR="000C0D50" w:rsidRPr="00685AA1">
        <w:rPr>
          <w:rFonts w:eastAsiaTheme="minorEastAsia"/>
          <w:bCs/>
          <w:color w:val="000000" w:themeColor="text1"/>
          <w:sz w:val="20"/>
          <w:szCs w:val="20"/>
          <w:lang w:eastAsia="da-DK"/>
        </w:rPr>
        <w:t xml:space="preserve">. </w:t>
      </w:r>
      <w:proofErr w:type="spellStart"/>
      <w:r w:rsidR="000C0D50" w:rsidRPr="000735B9">
        <w:rPr>
          <w:rFonts w:cs="Tahoma"/>
          <w:color w:val="000000" w:themeColor="text1"/>
          <w:sz w:val="20"/>
          <w:szCs w:val="20"/>
        </w:rPr>
        <w:t>Retrieved</w:t>
      </w:r>
      <w:proofErr w:type="spellEnd"/>
      <w:r w:rsidR="000C0D50" w:rsidRPr="000735B9">
        <w:rPr>
          <w:rFonts w:cs="Tahoma"/>
          <w:color w:val="000000" w:themeColor="text1"/>
          <w:sz w:val="20"/>
          <w:szCs w:val="20"/>
        </w:rPr>
        <w:t xml:space="preserve"> 16.01.18 from </w:t>
      </w:r>
      <w:hyperlink r:id="rId2" w:history="1">
        <w:r w:rsidR="000C0D50" w:rsidRPr="000735B9">
          <w:rPr>
            <w:rStyle w:val="Llink"/>
            <w:rFonts w:eastAsiaTheme="majorEastAsia"/>
            <w:color w:val="000000" w:themeColor="text1"/>
            <w:sz w:val="20"/>
            <w:szCs w:val="20"/>
          </w:rPr>
          <w:t>http://sociologi.samf.aau.dk/fileadmin/user_upload/dokumenter/Sociologiske_arbejdspapirer/Arbpapir_nr4.pdf</w:t>
        </w:r>
      </w:hyperlink>
      <w:r w:rsidR="00685AA1" w:rsidRPr="000735B9">
        <w:rPr>
          <w:color w:val="000000" w:themeColor="text1"/>
          <w:sz w:val="20"/>
          <w:szCs w:val="20"/>
        </w:rPr>
        <w:t>.</w:t>
      </w:r>
    </w:p>
  </w:footnote>
  <w:footnote w:id="46">
    <w:p w14:paraId="3B16DA25" w14:textId="54935C40" w:rsidR="002C1936" w:rsidRPr="00685AA1" w:rsidRDefault="000D1210" w:rsidP="00A91732">
      <w:pPr>
        <w:pStyle w:val="Fodnotetekst"/>
        <w:contextualSpacing/>
        <w:rPr>
          <w:sz w:val="20"/>
          <w:szCs w:val="20"/>
        </w:rPr>
      </w:pPr>
      <w:r w:rsidRPr="00685AA1">
        <w:rPr>
          <w:rStyle w:val="Fodnotehenvisning"/>
          <w:sz w:val="20"/>
          <w:szCs w:val="20"/>
        </w:rPr>
        <w:footnoteRef/>
      </w:r>
      <w:r w:rsidR="00685AA1" w:rsidRPr="00685AA1">
        <w:rPr>
          <w:sz w:val="20"/>
          <w:szCs w:val="20"/>
        </w:rPr>
        <w:t xml:space="preserve"> </w:t>
      </w:r>
      <w:r w:rsidR="00685AA1" w:rsidRPr="00685AA1">
        <w:rPr>
          <w:rFonts w:cs="Times"/>
          <w:color w:val="000000" w:themeColor="text1"/>
          <w:sz w:val="20"/>
          <w:szCs w:val="20"/>
        </w:rPr>
        <w:t xml:space="preserve">Jacobsen &amp; Kristiansen, </w:t>
      </w:r>
      <w:r w:rsidR="00685AA1" w:rsidRPr="00685AA1">
        <w:rPr>
          <w:rFonts w:eastAsiaTheme="minorEastAsia"/>
          <w:bCs/>
          <w:i/>
          <w:color w:val="000000" w:themeColor="text1"/>
          <w:sz w:val="20"/>
          <w:szCs w:val="20"/>
          <w:lang w:eastAsia="da-DK"/>
        </w:rPr>
        <w:t>Hvor farligt er det farlige feltarbejde</w:t>
      </w:r>
      <w:r w:rsidR="00685AA1" w:rsidRPr="00685AA1">
        <w:rPr>
          <w:rFonts w:eastAsiaTheme="minorEastAsia"/>
          <w:bCs/>
          <w:color w:val="000000" w:themeColor="text1"/>
          <w:sz w:val="20"/>
          <w:szCs w:val="20"/>
          <w:lang w:eastAsia="da-DK"/>
        </w:rPr>
        <w:t>, 81-82.</w:t>
      </w:r>
    </w:p>
  </w:footnote>
  <w:footnote w:id="47">
    <w:p w14:paraId="09E50F54" w14:textId="05A27DF9" w:rsidR="000C0D50" w:rsidRPr="00A91732" w:rsidRDefault="000D1210" w:rsidP="00A91732">
      <w:pPr>
        <w:pStyle w:val="Fodnotetekst"/>
        <w:contextualSpacing/>
        <w:rPr>
          <w:sz w:val="20"/>
          <w:szCs w:val="20"/>
        </w:rPr>
      </w:pPr>
      <w:r w:rsidRPr="00A91732">
        <w:rPr>
          <w:rStyle w:val="Fodnotehenvisning"/>
          <w:sz w:val="20"/>
          <w:szCs w:val="20"/>
        </w:rPr>
        <w:footnoteRef/>
      </w:r>
      <w:r w:rsidRPr="00A91732">
        <w:rPr>
          <w:sz w:val="20"/>
          <w:szCs w:val="20"/>
        </w:rPr>
        <w:t xml:space="preserve"> Ibid.</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B3CFFA0"/>
    <w:lvl w:ilvl="0">
      <w:start w:val="1"/>
      <w:numFmt w:val="decimal"/>
      <w:pStyle w:val="Opstilling-talellerbogst"/>
      <w:lvlText w:val="%1."/>
      <w:lvlJc w:val="left"/>
      <w:pPr>
        <w:tabs>
          <w:tab w:val="num" w:pos="360"/>
        </w:tabs>
        <w:ind w:left="360" w:hanging="360"/>
      </w:pPr>
    </w:lvl>
  </w:abstractNum>
  <w:abstractNum w:abstractNumId="1">
    <w:nsid w:val="FFFFFF89"/>
    <w:multiLevelType w:val="singleLevel"/>
    <w:tmpl w:val="DF985188"/>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F0387B"/>
    <w:multiLevelType w:val="hybridMultilevel"/>
    <w:tmpl w:val="EBE2FF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12F44511"/>
    <w:multiLevelType w:val="hybridMultilevel"/>
    <w:tmpl w:val="12106CF8"/>
    <w:lvl w:ilvl="0" w:tplc="04060003">
      <w:start w:val="1"/>
      <w:numFmt w:val="bullet"/>
      <w:lvlText w:val="o"/>
      <w:lvlJc w:val="left"/>
      <w:pPr>
        <w:ind w:left="360" w:hanging="360"/>
      </w:pPr>
      <w:rPr>
        <w:rFonts w:ascii="Courier New" w:hAnsi="Courier New" w:cs="Courier New"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nsid w:val="2918301A"/>
    <w:multiLevelType w:val="hybridMultilevel"/>
    <w:tmpl w:val="043CD12A"/>
    <w:lvl w:ilvl="0" w:tplc="E7C6337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553648D3"/>
    <w:multiLevelType w:val="hybridMultilevel"/>
    <w:tmpl w:val="372A97D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6"/>
  </w:num>
  <w:num w:numId="6">
    <w:abstractNumId w:val="4"/>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1304"/>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BF4"/>
    <w:rsid w:val="0000130F"/>
    <w:rsid w:val="000030DD"/>
    <w:rsid w:val="00021698"/>
    <w:rsid w:val="000243E6"/>
    <w:rsid w:val="00025086"/>
    <w:rsid w:val="000341A1"/>
    <w:rsid w:val="00042144"/>
    <w:rsid w:val="00047DB7"/>
    <w:rsid w:val="00051924"/>
    <w:rsid w:val="00053C5E"/>
    <w:rsid w:val="00057E29"/>
    <w:rsid w:val="000735B9"/>
    <w:rsid w:val="00074FCB"/>
    <w:rsid w:val="0008352A"/>
    <w:rsid w:val="00085340"/>
    <w:rsid w:val="000956C3"/>
    <w:rsid w:val="000A16C0"/>
    <w:rsid w:val="000B5A6D"/>
    <w:rsid w:val="000C0D50"/>
    <w:rsid w:val="000C4BF6"/>
    <w:rsid w:val="000D1210"/>
    <w:rsid w:val="000D7E30"/>
    <w:rsid w:val="000E7509"/>
    <w:rsid w:val="000F1182"/>
    <w:rsid w:val="000F49E1"/>
    <w:rsid w:val="000F6B8D"/>
    <w:rsid w:val="000F7CF1"/>
    <w:rsid w:val="00100480"/>
    <w:rsid w:val="0010565E"/>
    <w:rsid w:val="00106809"/>
    <w:rsid w:val="00107FAF"/>
    <w:rsid w:val="00112667"/>
    <w:rsid w:val="00114D8F"/>
    <w:rsid w:val="00117F70"/>
    <w:rsid w:val="00124F47"/>
    <w:rsid w:val="001468F4"/>
    <w:rsid w:val="00153ABC"/>
    <w:rsid w:val="00155266"/>
    <w:rsid w:val="001672AB"/>
    <w:rsid w:val="001674F9"/>
    <w:rsid w:val="001725B5"/>
    <w:rsid w:val="0017350C"/>
    <w:rsid w:val="00182AA8"/>
    <w:rsid w:val="00191851"/>
    <w:rsid w:val="001A1ECF"/>
    <w:rsid w:val="001A3C23"/>
    <w:rsid w:val="001A72E0"/>
    <w:rsid w:val="001B524E"/>
    <w:rsid w:val="001B5DBA"/>
    <w:rsid w:val="001B720E"/>
    <w:rsid w:val="001C5550"/>
    <w:rsid w:val="001C5F9A"/>
    <w:rsid w:val="001C714F"/>
    <w:rsid w:val="001D15F0"/>
    <w:rsid w:val="001D39DE"/>
    <w:rsid w:val="001E0594"/>
    <w:rsid w:val="001E2149"/>
    <w:rsid w:val="001E4D9D"/>
    <w:rsid w:val="001F38CF"/>
    <w:rsid w:val="001F4236"/>
    <w:rsid w:val="002002DD"/>
    <w:rsid w:val="00217641"/>
    <w:rsid w:val="00221BC8"/>
    <w:rsid w:val="00230CE6"/>
    <w:rsid w:val="0023334C"/>
    <w:rsid w:val="00233C66"/>
    <w:rsid w:val="00240788"/>
    <w:rsid w:val="002431EB"/>
    <w:rsid w:val="00246ACB"/>
    <w:rsid w:val="00252866"/>
    <w:rsid w:val="002528A7"/>
    <w:rsid w:val="0027700D"/>
    <w:rsid w:val="0028740F"/>
    <w:rsid w:val="002926EF"/>
    <w:rsid w:val="002A01F0"/>
    <w:rsid w:val="002C1936"/>
    <w:rsid w:val="002C1A3B"/>
    <w:rsid w:val="002D0AED"/>
    <w:rsid w:val="002D1561"/>
    <w:rsid w:val="002D362A"/>
    <w:rsid w:val="002D4674"/>
    <w:rsid w:val="002E28A7"/>
    <w:rsid w:val="00317EAA"/>
    <w:rsid w:val="00334833"/>
    <w:rsid w:val="00341D30"/>
    <w:rsid w:val="0035238E"/>
    <w:rsid w:val="00356194"/>
    <w:rsid w:val="00360914"/>
    <w:rsid w:val="00364533"/>
    <w:rsid w:val="003677B5"/>
    <w:rsid w:val="00375E78"/>
    <w:rsid w:val="00375E95"/>
    <w:rsid w:val="00377135"/>
    <w:rsid w:val="00384C70"/>
    <w:rsid w:val="00385F36"/>
    <w:rsid w:val="00391350"/>
    <w:rsid w:val="003934FD"/>
    <w:rsid w:val="00396DEB"/>
    <w:rsid w:val="003A7484"/>
    <w:rsid w:val="003B35E3"/>
    <w:rsid w:val="003B5115"/>
    <w:rsid w:val="003B57E3"/>
    <w:rsid w:val="003C5317"/>
    <w:rsid w:val="003C62C3"/>
    <w:rsid w:val="003D2590"/>
    <w:rsid w:val="003D618B"/>
    <w:rsid w:val="003E11CD"/>
    <w:rsid w:val="003E3F57"/>
    <w:rsid w:val="003F1176"/>
    <w:rsid w:val="003F19DD"/>
    <w:rsid w:val="003F235E"/>
    <w:rsid w:val="003F4DB8"/>
    <w:rsid w:val="00403D5E"/>
    <w:rsid w:val="00406357"/>
    <w:rsid w:val="004075D9"/>
    <w:rsid w:val="004126C8"/>
    <w:rsid w:val="00415D63"/>
    <w:rsid w:val="00420305"/>
    <w:rsid w:val="00424320"/>
    <w:rsid w:val="00430541"/>
    <w:rsid w:val="00430CF4"/>
    <w:rsid w:val="004410E9"/>
    <w:rsid w:val="00457F8B"/>
    <w:rsid w:val="00460FCA"/>
    <w:rsid w:val="004621F9"/>
    <w:rsid w:val="00464BBD"/>
    <w:rsid w:val="004718EA"/>
    <w:rsid w:val="004764D9"/>
    <w:rsid w:val="00477BEA"/>
    <w:rsid w:val="00480DE6"/>
    <w:rsid w:val="00485842"/>
    <w:rsid w:val="00486478"/>
    <w:rsid w:val="00487D77"/>
    <w:rsid w:val="004941F4"/>
    <w:rsid w:val="004A4CE4"/>
    <w:rsid w:val="004C3573"/>
    <w:rsid w:val="004C6E89"/>
    <w:rsid w:val="004D1828"/>
    <w:rsid w:val="004D3BD4"/>
    <w:rsid w:val="004E379E"/>
    <w:rsid w:val="004E3B4F"/>
    <w:rsid w:val="004F1F3E"/>
    <w:rsid w:val="005013A1"/>
    <w:rsid w:val="00511FED"/>
    <w:rsid w:val="00551EE1"/>
    <w:rsid w:val="00555BDE"/>
    <w:rsid w:val="0056107F"/>
    <w:rsid w:val="00596EC3"/>
    <w:rsid w:val="005A0245"/>
    <w:rsid w:val="005A6B70"/>
    <w:rsid w:val="005C4C03"/>
    <w:rsid w:val="005C5583"/>
    <w:rsid w:val="005C73DA"/>
    <w:rsid w:val="005D1491"/>
    <w:rsid w:val="005D7C91"/>
    <w:rsid w:val="005E22A6"/>
    <w:rsid w:val="005E342E"/>
    <w:rsid w:val="005E624F"/>
    <w:rsid w:val="005F2F03"/>
    <w:rsid w:val="00607202"/>
    <w:rsid w:val="006146B0"/>
    <w:rsid w:val="00625148"/>
    <w:rsid w:val="00627014"/>
    <w:rsid w:val="00630BCC"/>
    <w:rsid w:val="00640AAC"/>
    <w:rsid w:val="00643C74"/>
    <w:rsid w:val="006517F6"/>
    <w:rsid w:val="00663566"/>
    <w:rsid w:val="006704D6"/>
    <w:rsid w:val="00670A59"/>
    <w:rsid w:val="00671DD5"/>
    <w:rsid w:val="006822B2"/>
    <w:rsid w:val="00683DCB"/>
    <w:rsid w:val="006840E1"/>
    <w:rsid w:val="006859A9"/>
    <w:rsid w:val="00685AA1"/>
    <w:rsid w:val="006878A9"/>
    <w:rsid w:val="0069218F"/>
    <w:rsid w:val="00693A67"/>
    <w:rsid w:val="006A3C36"/>
    <w:rsid w:val="006B1EAC"/>
    <w:rsid w:val="006B5F56"/>
    <w:rsid w:val="006C6EAF"/>
    <w:rsid w:val="006D05E0"/>
    <w:rsid w:val="006F58B1"/>
    <w:rsid w:val="00704A55"/>
    <w:rsid w:val="0070794D"/>
    <w:rsid w:val="007111BD"/>
    <w:rsid w:val="0071227F"/>
    <w:rsid w:val="00713937"/>
    <w:rsid w:val="00717416"/>
    <w:rsid w:val="007177FD"/>
    <w:rsid w:val="0072053D"/>
    <w:rsid w:val="00724C2A"/>
    <w:rsid w:val="00725A57"/>
    <w:rsid w:val="00731B07"/>
    <w:rsid w:val="00732F3B"/>
    <w:rsid w:val="00736173"/>
    <w:rsid w:val="00743893"/>
    <w:rsid w:val="00747C52"/>
    <w:rsid w:val="00756770"/>
    <w:rsid w:val="007665D1"/>
    <w:rsid w:val="00770C3C"/>
    <w:rsid w:val="007727AB"/>
    <w:rsid w:val="00775477"/>
    <w:rsid w:val="00795620"/>
    <w:rsid w:val="007B31D3"/>
    <w:rsid w:val="007C798F"/>
    <w:rsid w:val="007D5FCC"/>
    <w:rsid w:val="007D63F5"/>
    <w:rsid w:val="007E602F"/>
    <w:rsid w:val="007F735D"/>
    <w:rsid w:val="0080213B"/>
    <w:rsid w:val="0080578C"/>
    <w:rsid w:val="00811FEF"/>
    <w:rsid w:val="00817B85"/>
    <w:rsid w:val="00827B2D"/>
    <w:rsid w:val="00835357"/>
    <w:rsid w:val="008477F8"/>
    <w:rsid w:val="00850F34"/>
    <w:rsid w:val="00853804"/>
    <w:rsid w:val="00862E1B"/>
    <w:rsid w:val="00863AB0"/>
    <w:rsid w:val="008824AD"/>
    <w:rsid w:val="0089043C"/>
    <w:rsid w:val="008A73E0"/>
    <w:rsid w:val="008B21C2"/>
    <w:rsid w:val="008B64D4"/>
    <w:rsid w:val="008C5557"/>
    <w:rsid w:val="008C5AFF"/>
    <w:rsid w:val="008E0067"/>
    <w:rsid w:val="008F56BB"/>
    <w:rsid w:val="00903ED7"/>
    <w:rsid w:val="00905396"/>
    <w:rsid w:val="00905CEB"/>
    <w:rsid w:val="009202CC"/>
    <w:rsid w:val="009258F3"/>
    <w:rsid w:val="009354CD"/>
    <w:rsid w:val="0093716D"/>
    <w:rsid w:val="00945A13"/>
    <w:rsid w:val="009465E6"/>
    <w:rsid w:val="00954669"/>
    <w:rsid w:val="009560FA"/>
    <w:rsid w:val="00962AFE"/>
    <w:rsid w:val="0097095D"/>
    <w:rsid w:val="0097486D"/>
    <w:rsid w:val="00974D01"/>
    <w:rsid w:val="009776C1"/>
    <w:rsid w:val="009936FF"/>
    <w:rsid w:val="009A15D5"/>
    <w:rsid w:val="009A332D"/>
    <w:rsid w:val="009A513A"/>
    <w:rsid w:val="009A56BF"/>
    <w:rsid w:val="009B7388"/>
    <w:rsid w:val="009B7D0B"/>
    <w:rsid w:val="009C7DC0"/>
    <w:rsid w:val="009E691E"/>
    <w:rsid w:val="009E7FC3"/>
    <w:rsid w:val="009F2986"/>
    <w:rsid w:val="009F600E"/>
    <w:rsid w:val="00A020A8"/>
    <w:rsid w:val="00A02AA5"/>
    <w:rsid w:val="00A249E9"/>
    <w:rsid w:val="00A25651"/>
    <w:rsid w:val="00A444DF"/>
    <w:rsid w:val="00A46736"/>
    <w:rsid w:val="00A50C50"/>
    <w:rsid w:val="00A540C9"/>
    <w:rsid w:val="00A553C4"/>
    <w:rsid w:val="00A5786F"/>
    <w:rsid w:val="00A57B3E"/>
    <w:rsid w:val="00A622FD"/>
    <w:rsid w:val="00A63B00"/>
    <w:rsid w:val="00A91732"/>
    <w:rsid w:val="00AA1973"/>
    <w:rsid w:val="00AA19D6"/>
    <w:rsid w:val="00AB1EEB"/>
    <w:rsid w:val="00AB203A"/>
    <w:rsid w:val="00AC0658"/>
    <w:rsid w:val="00AC40DF"/>
    <w:rsid w:val="00AC481A"/>
    <w:rsid w:val="00AD5CCC"/>
    <w:rsid w:val="00AE1FDC"/>
    <w:rsid w:val="00AE5F42"/>
    <w:rsid w:val="00AF3E41"/>
    <w:rsid w:val="00B047A8"/>
    <w:rsid w:val="00B07DE9"/>
    <w:rsid w:val="00B12F2F"/>
    <w:rsid w:val="00B42A62"/>
    <w:rsid w:val="00B52AF4"/>
    <w:rsid w:val="00B5379C"/>
    <w:rsid w:val="00B564A8"/>
    <w:rsid w:val="00B57CDB"/>
    <w:rsid w:val="00B64498"/>
    <w:rsid w:val="00B64A16"/>
    <w:rsid w:val="00BB2C0E"/>
    <w:rsid w:val="00BB4C2B"/>
    <w:rsid w:val="00BB719C"/>
    <w:rsid w:val="00BC6610"/>
    <w:rsid w:val="00BE050E"/>
    <w:rsid w:val="00BE3B9B"/>
    <w:rsid w:val="00BF66EE"/>
    <w:rsid w:val="00C0583F"/>
    <w:rsid w:val="00C14140"/>
    <w:rsid w:val="00C17487"/>
    <w:rsid w:val="00C238F5"/>
    <w:rsid w:val="00C55BED"/>
    <w:rsid w:val="00C63F94"/>
    <w:rsid w:val="00C7243D"/>
    <w:rsid w:val="00C747BB"/>
    <w:rsid w:val="00C7595A"/>
    <w:rsid w:val="00CA4A44"/>
    <w:rsid w:val="00CA7B88"/>
    <w:rsid w:val="00CC3E5D"/>
    <w:rsid w:val="00CD0467"/>
    <w:rsid w:val="00CD4C44"/>
    <w:rsid w:val="00CD522B"/>
    <w:rsid w:val="00CD63AC"/>
    <w:rsid w:val="00CE4109"/>
    <w:rsid w:val="00CE60DC"/>
    <w:rsid w:val="00CE638C"/>
    <w:rsid w:val="00CF402C"/>
    <w:rsid w:val="00CF4279"/>
    <w:rsid w:val="00CF5F21"/>
    <w:rsid w:val="00D02426"/>
    <w:rsid w:val="00D0258F"/>
    <w:rsid w:val="00D07934"/>
    <w:rsid w:val="00D07D02"/>
    <w:rsid w:val="00D157E8"/>
    <w:rsid w:val="00D177F0"/>
    <w:rsid w:val="00D229F6"/>
    <w:rsid w:val="00D31803"/>
    <w:rsid w:val="00D45A73"/>
    <w:rsid w:val="00D52C2B"/>
    <w:rsid w:val="00D55F3B"/>
    <w:rsid w:val="00D645AC"/>
    <w:rsid w:val="00D73DF4"/>
    <w:rsid w:val="00D8124A"/>
    <w:rsid w:val="00D8573F"/>
    <w:rsid w:val="00D91DE9"/>
    <w:rsid w:val="00D963E0"/>
    <w:rsid w:val="00DA3A97"/>
    <w:rsid w:val="00DA4B55"/>
    <w:rsid w:val="00DB191B"/>
    <w:rsid w:val="00DB2466"/>
    <w:rsid w:val="00DB3071"/>
    <w:rsid w:val="00DB5A18"/>
    <w:rsid w:val="00DC08A6"/>
    <w:rsid w:val="00DD1698"/>
    <w:rsid w:val="00DD1DAC"/>
    <w:rsid w:val="00DD2229"/>
    <w:rsid w:val="00DD4E60"/>
    <w:rsid w:val="00DE4926"/>
    <w:rsid w:val="00DE5A02"/>
    <w:rsid w:val="00DF4AC9"/>
    <w:rsid w:val="00E025E4"/>
    <w:rsid w:val="00E0269E"/>
    <w:rsid w:val="00E028FF"/>
    <w:rsid w:val="00E03C25"/>
    <w:rsid w:val="00E06537"/>
    <w:rsid w:val="00E14DE1"/>
    <w:rsid w:val="00E21C67"/>
    <w:rsid w:val="00E25DA6"/>
    <w:rsid w:val="00E26990"/>
    <w:rsid w:val="00E26CF6"/>
    <w:rsid w:val="00E27ED3"/>
    <w:rsid w:val="00E31010"/>
    <w:rsid w:val="00E31B72"/>
    <w:rsid w:val="00E3284D"/>
    <w:rsid w:val="00E5146A"/>
    <w:rsid w:val="00E53BF4"/>
    <w:rsid w:val="00E53ED0"/>
    <w:rsid w:val="00E57F6B"/>
    <w:rsid w:val="00E61BFB"/>
    <w:rsid w:val="00E861A1"/>
    <w:rsid w:val="00E961FD"/>
    <w:rsid w:val="00EA3B79"/>
    <w:rsid w:val="00EB111F"/>
    <w:rsid w:val="00EC58D6"/>
    <w:rsid w:val="00EC6DB9"/>
    <w:rsid w:val="00ED0574"/>
    <w:rsid w:val="00ED14A7"/>
    <w:rsid w:val="00ED4EAB"/>
    <w:rsid w:val="00EE0DB2"/>
    <w:rsid w:val="00EE432D"/>
    <w:rsid w:val="00EE706B"/>
    <w:rsid w:val="00EF2A77"/>
    <w:rsid w:val="00EF641C"/>
    <w:rsid w:val="00F233E5"/>
    <w:rsid w:val="00F411EF"/>
    <w:rsid w:val="00F524A0"/>
    <w:rsid w:val="00F61438"/>
    <w:rsid w:val="00F75337"/>
    <w:rsid w:val="00F77242"/>
    <w:rsid w:val="00F8423D"/>
    <w:rsid w:val="00F968A7"/>
    <w:rsid w:val="00FA2BA6"/>
    <w:rsid w:val="00FB019D"/>
    <w:rsid w:val="00FB4A7D"/>
    <w:rsid w:val="00FB7AEB"/>
    <w:rsid w:val="00FD3468"/>
    <w:rsid w:val="00FD4745"/>
    <w:rsid w:val="00FE1108"/>
    <w:rsid w:val="00FF6607"/>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3D33D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3468"/>
    <w:pPr>
      <w:spacing w:line="360" w:lineRule="auto"/>
    </w:pPr>
    <w:rPr>
      <w:rFonts w:ascii="Times New Roman" w:eastAsia="Times New Roman" w:hAnsi="Times New Roman" w:cs="Times New Roman"/>
      <w:lang w:eastAsia="en-US"/>
    </w:rPr>
  </w:style>
  <w:style w:type="paragraph" w:styleId="Overskrift1">
    <w:name w:val="heading 1"/>
    <w:basedOn w:val="Normal"/>
    <w:next w:val="Normal"/>
    <w:link w:val="Overskrift1Tegn"/>
    <w:uiPriority w:val="9"/>
    <w:qFormat/>
    <w:rsid w:val="00E53BF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E53BF4"/>
    <w:pPr>
      <w:ind w:left="720"/>
      <w:contextualSpacing/>
    </w:pPr>
  </w:style>
  <w:style w:type="character" w:customStyle="1" w:styleId="Overskrift1Tegn">
    <w:name w:val="Overskrift 1 Tegn"/>
    <w:basedOn w:val="Standardskrifttypeiafsnit"/>
    <w:link w:val="Overskrift1"/>
    <w:uiPriority w:val="9"/>
    <w:rsid w:val="00E53BF4"/>
    <w:rPr>
      <w:rFonts w:asciiTheme="majorHAnsi" w:eastAsiaTheme="majorEastAsia" w:hAnsiTheme="majorHAnsi" w:cstheme="majorBidi"/>
      <w:b/>
      <w:bCs/>
      <w:color w:val="365F91" w:themeColor="accent1" w:themeShade="BF"/>
      <w:sz w:val="28"/>
      <w:szCs w:val="28"/>
      <w:lang w:eastAsia="en-US"/>
    </w:rPr>
  </w:style>
  <w:style w:type="paragraph" w:styleId="Normalweb">
    <w:name w:val="Normal (Web)"/>
    <w:basedOn w:val="Normal"/>
    <w:uiPriority w:val="99"/>
    <w:unhideWhenUsed/>
    <w:rsid w:val="00E53BF4"/>
    <w:pPr>
      <w:spacing w:before="100" w:beforeAutospacing="1" w:after="100" w:afterAutospacing="1" w:line="240" w:lineRule="auto"/>
    </w:pPr>
    <w:rPr>
      <w:lang w:eastAsia="da-DK"/>
    </w:rPr>
  </w:style>
  <w:style w:type="character" w:styleId="Strk">
    <w:name w:val="Strong"/>
    <w:basedOn w:val="Standardskrifttypeiafsnit"/>
    <w:uiPriority w:val="22"/>
    <w:qFormat/>
    <w:rsid w:val="00E53BF4"/>
    <w:rPr>
      <w:b/>
      <w:bCs/>
    </w:rPr>
  </w:style>
  <w:style w:type="character" w:styleId="Llink">
    <w:name w:val="Hyperlink"/>
    <w:basedOn w:val="Standardskrifttypeiafsnit"/>
    <w:uiPriority w:val="99"/>
    <w:unhideWhenUsed/>
    <w:rsid w:val="00E53BF4"/>
    <w:rPr>
      <w:color w:val="0000FF" w:themeColor="hyperlink"/>
      <w:u w:val="single"/>
    </w:rPr>
  </w:style>
  <w:style w:type="character" w:customStyle="1" w:styleId="mw-cite-backlink">
    <w:name w:val="mw-cite-backlink"/>
    <w:basedOn w:val="Standardskrifttypeiafsnit"/>
    <w:rsid w:val="00E53BF4"/>
  </w:style>
  <w:style w:type="character" w:customStyle="1" w:styleId="cite-accessibility-label">
    <w:name w:val="cite-accessibility-label"/>
    <w:basedOn w:val="Standardskrifttypeiafsnit"/>
    <w:rsid w:val="00E53BF4"/>
  </w:style>
  <w:style w:type="character" w:customStyle="1" w:styleId="reference-text">
    <w:name w:val="reference-text"/>
    <w:basedOn w:val="Standardskrifttypeiafsnit"/>
    <w:rsid w:val="00E53BF4"/>
  </w:style>
  <w:style w:type="paragraph" w:styleId="Sidehoved">
    <w:name w:val="header"/>
    <w:basedOn w:val="Normal"/>
    <w:link w:val="SidehovedTegn"/>
    <w:uiPriority w:val="99"/>
    <w:unhideWhenUsed/>
    <w:rsid w:val="00E53BF4"/>
    <w:pPr>
      <w:tabs>
        <w:tab w:val="center" w:pos="4819"/>
        <w:tab w:val="right" w:pos="9638"/>
      </w:tabs>
      <w:spacing w:line="240" w:lineRule="auto"/>
    </w:pPr>
    <w:rPr>
      <w:rFonts w:asciiTheme="minorHAnsi" w:eastAsiaTheme="minorHAnsi" w:hAnsiTheme="minorHAnsi" w:cstheme="minorBidi"/>
      <w:sz w:val="22"/>
      <w:szCs w:val="22"/>
    </w:rPr>
  </w:style>
  <w:style w:type="character" w:customStyle="1" w:styleId="SidehovedTegn">
    <w:name w:val="Sidehoved Tegn"/>
    <w:basedOn w:val="Standardskrifttypeiafsnit"/>
    <w:link w:val="Sidehoved"/>
    <w:uiPriority w:val="99"/>
    <w:rsid w:val="00E53BF4"/>
    <w:rPr>
      <w:rFonts w:eastAsiaTheme="minorHAnsi"/>
      <w:sz w:val="22"/>
      <w:szCs w:val="22"/>
      <w:lang w:eastAsia="en-US"/>
    </w:rPr>
  </w:style>
  <w:style w:type="paragraph" w:styleId="Sidefod">
    <w:name w:val="footer"/>
    <w:basedOn w:val="Normal"/>
    <w:link w:val="SidefodTegn"/>
    <w:uiPriority w:val="99"/>
    <w:unhideWhenUsed/>
    <w:rsid w:val="00E53BF4"/>
    <w:pPr>
      <w:tabs>
        <w:tab w:val="center" w:pos="4819"/>
        <w:tab w:val="right" w:pos="9638"/>
      </w:tabs>
      <w:spacing w:line="240" w:lineRule="auto"/>
    </w:pPr>
    <w:rPr>
      <w:rFonts w:asciiTheme="minorHAnsi" w:eastAsiaTheme="minorHAnsi" w:hAnsiTheme="minorHAnsi" w:cstheme="minorBidi"/>
      <w:sz w:val="22"/>
      <w:szCs w:val="22"/>
    </w:rPr>
  </w:style>
  <w:style w:type="character" w:customStyle="1" w:styleId="SidefodTegn">
    <w:name w:val="Sidefod Tegn"/>
    <w:basedOn w:val="Standardskrifttypeiafsnit"/>
    <w:link w:val="Sidefod"/>
    <w:uiPriority w:val="99"/>
    <w:rsid w:val="00E53BF4"/>
    <w:rPr>
      <w:rFonts w:eastAsiaTheme="minorHAnsi"/>
      <w:sz w:val="22"/>
      <w:szCs w:val="22"/>
      <w:lang w:eastAsia="en-US"/>
    </w:rPr>
  </w:style>
  <w:style w:type="character" w:customStyle="1" w:styleId="hps">
    <w:name w:val="hps"/>
    <w:basedOn w:val="Standardskrifttypeiafsnit"/>
    <w:rsid w:val="00E53BF4"/>
  </w:style>
  <w:style w:type="character" w:customStyle="1" w:styleId="atn">
    <w:name w:val="atn"/>
    <w:basedOn w:val="Standardskrifttypeiafsnit"/>
    <w:rsid w:val="00E53BF4"/>
  </w:style>
  <w:style w:type="paragraph" w:styleId="Markeringsbobletekst">
    <w:name w:val="Balloon Text"/>
    <w:basedOn w:val="Normal"/>
    <w:link w:val="MarkeringsbobletekstTegn"/>
    <w:uiPriority w:val="99"/>
    <w:semiHidden/>
    <w:unhideWhenUsed/>
    <w:rsid w:val="00E53BF4"/>
    <w:pPr>
      <w:spacing w:line="240" w:lineRule="auto"/>
    </w:pPr>
    <w:rPr>
      <w:rFonts w:ascii="Lucida Grande" w:eastAsiaTheme="minorHAnsi"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E53BF4"/>
    <w:rPr>
      <w:rFonts w:ascii="Lucida Grande" w:eastAsiaTheme="minorHAnsi" w:hAnsi="Lucida Grande" w:cs="Lucida Grande"/>
      <w:sz w:val="18"/>
      <w:szCs w:val="18"/>
      <w:lang w:eastAsia="en-US"/>
    </w:rPr>
  </w:style>
  <w:style w:type="character" w:styleId="BesgtHyperlink">
    <w:name w:val="FollowedHyperlink"/>
    <w:basedOn w:val="Standardskrifttypeiafsnit"/>
    <w:uiPriority w:val="99"/>
    <w:semiHidden/>
    <w:unhideWhenUsed/>
    <w:rsid w:val="00E53BF4"/>
    <w:rPr>
      <w:color w:val="800080" w:themeColor="followedHyperlink"/>
      <w:u w:val="single"/>
    </w:rPr>
  </w:style>
  <w:style w:type="paragraph" w:styleId="Slutnotetekst">
    <w:name w:val="endnote text"/>
    <w:basedOn w:val="Normal"/>
    <w:link w:val="SlutnotetekstTegn"/>
    <w:uiPriority w:val="99"/>
    <w:unhideWhenUsed/>
    <w:rsid w:val="00E53BF4"/>
    <w:pPr>
      <w:spacing w:line="240" w:lineRule="auto"/>
    </w:pPr>
    <w:rPr>
      <w:rFonts w:asciiTheme="minorHAnsi" w:eastAsiaTheme="minorHAnsi" w:hAnsiTheme="minorHAnsi" w:cstheme="minorBidi"/>
    </w:rPr>
  </w:style>
  <w:style w:type="character" w:customStyle="1" w:styleId="SlutnotetekstTegn">
    <w:name w:val="Slutnotetekst Tegn"/>
    <w:basedOn w:val="Standardskrifttypeiafsnit"/>
    <w:link w:val="Slutnotetekst"/>
    <w:uiPriority w:val="99"/>
    <w:rsid w:val="00E53BF4"/>
    <w:rPr>
      <w:rFonts w:eastAsiaTheme="minorHAnsi"/>
      <w:lang w:eastAsia="en-US"/>
    </w:rPr>
  </w:style>
  <w:style w:type="character" w:styleId="Slutnotehenvisning">
    <w:name w:val="endnote reference"/>
    <w:basedOn w:val="Standardskrifttypeiafsnit"/>
    <w:uiPriority w:val="99"/>
    <w:unhideWhenUsed/>
    <w:rsid w:val="00E53BF4"/>
    <w:rPr>
      <w:vertAlign w:val="superscript"/>
    </w:rPr>
  </w:style>
  <w:style w:type="paragraph" w:styleId="Fodnotetekst">
    <w:name w:val="footnote text"/>
    <w:basedOn w:val="Normal"/>
    <w:link w:val="FodnotetekstTegn"/>
    <w:uiPriority w:val="99"/>
    <w:unhideWhenUsed/>
    <w:rsid w:val="00E53BF4"/>
    <w:pPr>
      <w:spacing w:line="240" w:lineRule="auto"/>
    </w:pPr>
    <w:rPr>
      <w:rFonts w:asciiTheme="minorHAnsi" w:eastAsiaTheme="minorHAnsi" w:hAnsiTheme="minorHAnsi" w:cstheme="minorBidi"/>
    </w:rPr>
  </w:style>
  <w:style w:type="character" w:customStyle="1" w:styleId="FodnotetekstTegn">
    <w:name w:val="Fodnotetekst Tegn"/>
    <w:basedOn w:val="Standardskrifttypeiafsnit"/>
    <w:link w:val="Fodnotetekst"/>
    <w:uiPriority w:val="99"/>
    <w:rsid w:val="00E53BF4"/>
    <w:rPr>
      <w:rFonts w:eastAsiaTheme="minorHAnsi"/>
      <w:lang w:eastAsia="en-US"/>
    </w:rPr>
  </w:style>
  <w:style w:type="character" w:styleId="Fodnotehenvisning">
    <w:name w:val="footnote reference"/>
    <w:basedOn w:val="Standardskrifttypeiafsnit"/>
    <w:uiPriority w:val="99"/>
    <w:unhideWhenUsed/>
    <w:rsid w:val="00E53BF4"/>
    <w:rPr>
      <w:vertAlign w:val="superscript"/>
    </w:rPr>
  </w:style>
  <w:style w:type="paragraph" w:customStyle="1" w:styleId="Default">
    <w:name w:val="Default"/>
    <w:rsid w:val="00E53BF4"/>
    <w:pPr>
      <w:autoSpaceDE w:val="0"/>
      <w:autoSpaceDN w:val="0"/>
      <w:adjustRightInd w:val="0"/>
    </w:pPr>
    <w:rPr>
      <w:rFonts w:ascii="Times New Roman" w:hAnsi="Times New Roman" w:cs="Times New Roman"/>
      <w:color w:val="000000"/>
    </w:rPr>
  </w:style>
  <w:style w:type="paragraph" w:styleId="Opstilling-punkttegn">
    <w:name w:val="List Bullet"/>
    <w:basedOn w:val="Normal"/>
    <w:uiPriority w:val="99"/>
    <w:unhideWhenUsed/>
    <w:rsid w:val="00E53BF4"/>
    <w:pPr>
      <w:numPr>
        <w:numId w:val="2"/>
      </w:numPr>
      <w:spacing w:after="200" w:line="276" w:lineRule="auto"/>
      <w:contextualSpacing/>
    </w:pPr>
    <w:rPr>
      <w:rFonts w:asciiTheme="minorHAnsi" w:eastAsiaTheme="minorHAnsi" w:hAnsiTheme="minorHAnsi" w:cstheme="minorBidi"/>
      <w:sz w:val="22"/>
      <w:szCs w:val="22"/>
    </w:rPr>
  </w:style>
  <w:style w:type="paragraph" w:styleId="Opstilling-talellerbogst">
    <w:name w:val="List Number"/>
    <w:basedOn w:val="Normal"/>
    <w:uiPriority w:val="99"/>
    <w:unhideWhenUsed/>
    <w:rsid w:val="00E53BF4"/>
    <w:pPr>
      <w:numPr>
        <w:numId w:val="3"/>
      </w:numPr>
      <w:spacing w:after="200" w:line="276" w:lineRule="auto"/>
      <w:contextualSpacing/>
    </w:pPr>
    <w:rPr>
      <w:rFonts w:asciiTheme="minorHAnsi" w:eastAsiaTheme="minorHAnsi" w:hAnsiTheme="minorHAnsi" w:cstheme="minorBidi"/>
      <w:sz w:val="22"/>
      <w:szCs w:val="22"/>
    </w:rPr>
  </w:style>
  <w:style w:type="character" w:styleId="Sidetal">
    <w:name w:val="page number"/>
    <w:basedOn w:val="Standardskrifttypeiafsnit"/>
    <w:uiPriority w:val="99"/>
    <w:semiHidden/>
    <w:unhideWhenUsed/>
    <w:rsid w:val="00A46736"/>
  </w:style>
  <w:style w:type="character" w:customStyle="1" w:styleId="apple-converted-space">
    <w:name w:val="apple-converted-space"/>
    <w:basedOn w:val="Standardskrifttypeiafsnit"/>
    <w:rsid w:val="007665D1"/>
  </w:style>
  <w:style w:type="character" w:customStyle="1" w:styleId="definition">
    <w:name w:val="definition"/>
    <w:basedOn w:val="Standardskrifttypeiafsnit"/>
    <w:rsid w:val="00A50C50"/>
  </w:style>
  <w:style w:type="character" w:styleId="Fremhv">
    <w:name w:val="Emphasis"/>
    <w:basedOn w:val="Standardskrifttypeiafsnit"/>
    <w:uiPriority w:val="20"/>
    <w:qFormat/>
    <w:rsid w:val="00E21C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49298">
      <w:bodyDiv w:val="1"/>
      <w:marLeft w:val="0"/>
      <w:marRight w:val="0"/>
      <w:marTop w:val="0"/>
      <w:marBottom w:val="0"/>
      <w:divBdr>
        <w:top w:val="none" w:sz="0" w:space="0" w:color="auto"/>
        <w:left w:val="none" w:sz="0" w:space="0" w:color="auto"/>
        <w:bottom w:val="none" w:sz="0" w:space="0" w:color="auto"/>
        <w:right w:val="none" w:sz="0" w:space="0" w:color="auto"/>
      </w:divBdr>
    </w:div>
    <w:div w:id="122384107">
      <w:bodyDiv w:val="1"/>
      <w:marLeft w:val="0"/>
      <w:marRight w:val="0"/>
      <w:marTop w:val="0"/>
      <w:marBottom w:val="0"/>
      <w:divBdr>
        <w:top w:val="none" w:sz="0" w:space="0" w:color="auto"/>
        <w:left w:val="none" w:sz="0" w:space="0" w:color="auto"/>
        <w:bottom w:val="none" w:sz="0" w:space="0" w:color="auto"/>
        <w:right w:val="none" w:sz="0" w:space="0" w:color="auto"/>
      </w:divBdr>
    </w:div>
    <w:div w:id="175267821">
      <w:bodyDiv w:val="1"/>
      <w:marLeft w:val="0"/>
      <w:marRight w:val="0"/>
      <w:marTop w:val="0"/>
      <w:marBottom w:val="0"/>
      <w:divBdr>
        <w:top w:val="none" w:sz="0" w:space="0" w:color="auto"/>
        <w:left w:val="none" w:sz="0" w:space="0" w:color="auto"/>
        <w:bottom w:val="none" w:sz="0" w:space="0" w:color="auto"/>
        <w:right w:val="none" w:sz="0" w:space="0" w:color="auto"/>
      </w:divBdr>
      <w:divsChild>
        <w:div w:id="322007662">
          <w:marLeft w:val="0"/>
          <w:marRight w:val="0"/>
          <w:marTop w:val="96"/>
          <w:marBottom w:val="60"/>
          <w:divBdr>
            <w:top w:val="none" w:sz="0" w:space="0" w:color="auto"/>
            <w:left w:val="none" w:sz="0" w:space="0" w:color="auto"/>
            <w:bottom w:val="none" w:sz="0" w:space="0" w:color="auto"/>
            <w:right w:val="none" w:sz="0" w:space="0" w:color="auto"/>
          </w:divBdr>
        </w:div>
      </w:divsChild>
    </w:div>
    <w:div w:id="302198884">
      <w:bodyDiv w:val="1"/>
      <w:marLeft w:val="0"/>
      <w:marRight w:val="0"/>
      <w:marTop w:val="0"/>
      <w:marBottom w:val="0"/>
      <w:divBdr>
        <w:top w:val="none" w:sz="0" w:space="0" w:color="auto"/>
        <w:left w:val="none" w:sz="0" w:space="0" w:color="auto"/>
        <w:bottom w:val="none" w:sz="0" w:space="0" w:color="auto"/>
        <w:right w:val="none" w:sz="0" w:space="0" w:color="auto"/>
      </w:divBdr>
    </w:div>
    <w:div w:id="456415300">
      <w:bodyDiv w:val="1"/>
      <w:marLeft w:val="0"/>
      <w:marRight w:val="0"/>
      <w:marTop w:val="0"/>
      <w:marBottom w:val="0"/>
      <w:divBdr>
        <w:top w:val="none" w:sz="0" w:space="0" w:color="auto"/>
        <w:left w:val="none" w:sz="0" w:space="0" w:color="auto"/>
        <w:bottom w:val="none" w:sz="0" w:space="0" w:color="auto"/>
        <w:right w:val="none" w:sz="0" w:space="0" w:color="auto"/>
      </w:divBdr>
    </w:div>
    <w:div w:id="481196082">
      <w:bodyDiv w:val="1"/>
      <w:marLeft w:val="0"/>
      <w:marRight w:val="0"/>
      <w:marTop w:val="0"/>
      <w:marBottom w:val="0"/>
      <w:divBdr>
        <w:top w:val="none" w:sz="0" w:space="0" w:color="auto"/>
        <w:left w:val="none" w:sz="0" w:space="0" w:color="auto"/>
        <w:bottom w:val="none" w:sz="0" w:space="0" w:color="auto"/>
        <w:right w:val="none" w:sz="0" w:space="0" w:color="auto"/>
      </w:divBdr>
    </w:div>
    <w:div w:id="502286165">
      <w:bodyDiv w:val="1"/>
      <w:marLeft w:val="0"/>
      <w:marRight w:val="0"/>
      <w:marTop w:val="0"/>
      <w:marBottom w:val="0"/>
      <w:divBdr>
        <w:top w:val="none" w:sz="0" w:space="0" w:color="auto"/>
        <w:left w:val="none" w:sz="0" w:space="0" w:color="auto"/>
        <w:bottom w:val="none" w:sz="0" w:space="0" w:color="auto"/>
        <w:right w:val="none" w:sz="0" w:space="0" w:color="auto"/>
      </w:divBdr>
    </w:div>
    <w:div w:id="758410629">
      <w:bodyDiv w:val="1"/>
      <w:marLeft w:val="0"/>
      <w:marRight w:val="0"/>
      <w:marTop w:val="0"/>
      <w:marBottom w:val="0"/>
      <w:divBdr>
        <w:top w:val="none" w:sz="0" w:space="0" w:color="auto"/>
        <w:left w:val="none" w:sz="0" w:space="0" w:color="auto"/>
        <w:bottom w:val="none" w:sz="0" w:space="0" w:color="auto"/>
        <w:right w:val="none" w:sz="0" w:space="0" w:color="auto"/>
      </w:divBdr>
    </w:div>
    <w:div w:id="887034386">
      <w:bodyDiv w:val="1"/>
      <w:marLeft w:val="0"/>
      <w:marRight w:val="0"/>
      <w:marTop w:val="0"/>
      <w:marBottom w:val="0"/>
      <w:divBdr>
        <w:top w:val="none" w:sz="0" w:space="0" w:color="auto"/>
        <w:left w:val="none" w:sz="0" w:space="0" w:color="auto"/>
        <w:bottom w:val="none" w:sz="0" w:space="0" w:color="auto"/>
        <w:right w:val="none" w:sz="0" w:space="0" w:color="auto"/>
      </w:divBdr>
    </w:div>
    <w:div w:id="1080444069">
      <w:bodyDiv w:val="1"/>
      <w:marLeft w:val="0"/>
      <w:marRight w:val="0"/>
      <w:marTop w:val="0"/>
      <w:marBottom w:val="0"/>
      <w:divBdr>
        <w:top w:val="none" w:sz="0" w:space="0" w:color="auto"/>
        <w:left w:val="none" w:sz="0" w:space="0" w:color="auto"/>
        <w:bottom w:val="none" w:sz="0" w:space="0" w:color="auto"/>
        <w:right w:val="none" w:sz="0" w:space="0" w:color="auto"/>
      </w:divBdr>
    </w:div>
    <w:div w:id="1431588330">
      <w:bodyDiv w:val="1"/>
      <w:marLeft w:val="0"/>
      <w:marRight w:val="0"/>
      <w:marTop w:val="0"/>
      <w:marBottom w:val="0"/>
      <w:divBdr>
        <w:top w:val="none" w:sz="0" w:space="0" w:color="auto"/>
        <w:left w:val="none" w:sz="0" w:space="0" w:color="auto"/>
        <w:bottom w:val="none" w:sz="0" w:space="0" w:color="auto"/>
        <w:right w:val="none" w:sz="0" w:space="0" w:color="auto"/>
      </w:divBdr>
    </w:div>
    <w:div w:id="1497380927">
      <w:bodyDiv w:val="1"/>
      <w:marLeft w:val="0"/>
      <w:marRight w:val="0"/>
      <w:marTop w:val="0"/>
      <w:marBottom w:val="0"/>
      <w:divBdr>
        <w:top w:val="none" w:sz="0" w:space="0" w:color="auto"/>
        <w:left w:val="none" w:sz="0" w:space="0" w:color="auto"/>
        <w:bottom w:val="none" w:sz="0" w:space="0" w:color="auto"/>
        <w:right w:val="none" w:sz="0" w:space="0" w:color="auto"/>
      </w:divBdr>
    </w:div>
    <w:div w:id="1540243719">
      <w:bodyDiv w:val="1"/>
      <w:marLeft w:val="0"/>
      <w:marRight w:val="0"/>
      <w:marTop w:val="0"/>
      <w:marBottom w:val="0"/>
      <w:divBdr>
        <w:top w:val="none" w:sz="0" w:space="0" w:color="auto"/>
        <w:left w:val="none" w:sz="0" w:space="0" w:color="auto"/>
        <w:bottom w:val="none" w:sz="0" w:space="0" w:color="auto"/>
        <w:right w:val="none" w:sz="0" w:space="0" w:color="auto"/>
      </w:divBdr>
    </w:div>
    <w:div w:id="18898059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s://www.retsinformation.dk/forms/R0710.aspx?id=152402" TargetMode="External"/><Relationship Id="rId2" Type="http://schemas.openxmlformats.org/officeDocument/2006/relationships/hyperlink" Target="http://sociologi.samf.aau.dk/fileadmin/user_upload/dokumenter/Sociologiske_arbejdspapirer/Arbpapir_nr4.pdf"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AB6C580-C3DA-D945-AA69-1695285F8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14</Pages>
  <Words>5603</Words>
  <Characters>32780</Characters>
  <Application>Microsoft Macintosh Word</Application>
  <DocSecurity>0</DocSecurity>
  <Lines>461</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Blok Johansen</dc:creator>
  <cp:keywords/>
  <dc:description/>
  <cp:lastModifiedBy>Microsoft Office-bruger</cp:lastModifiedBy>
  <cp:revision>5</cp:revision>
  <cp:lastPrinted>2016-05-31T14:30:00Z</cp:lastPrinted>
  <dcterms:created xsi:type="dcterms:W3CDTF">2018-01-15T07:14:00Z</dcterms:created>
  <dcterms:modified xsi:type="dcterms:W3CDTF">2018-01-16T13:11:00Z</dcterms:modified>
</cp:coreProperties>
</file>