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0D47B" w14:textId="1B577159" w:rsidR="00427BA8" w:rsidRPr="006D3E1C" w:rsidRDefault="00E25B16" w:rsidP="00F22861">
      <w:pPr>
        <w:ind w:left="720" w:hanging="720"/>
        <w:jc w:val="center"/>
        <w:rPr>
          <w:b/>
          <w:sz w:val="28"/>
          <w:szCs w:val="28"/>
        </w:rPr>
      </w:pPr>
      <w:r>
        <w:rPr>
          <w:b/>
          <w:sz w:val="28"/>
          <w:szCs w:val="28"/>
        </w:rPr>
        <w:t>The Matter of Thinking: Material T</w:t>
      </w:r>
      <w:r w:rsidR="00C073C1">
        <w:rPr>
          <w:b/>
          <w:sz w:val="28"/>
          <w:szCs w:val="28"/>
        </w:rPr>
        <w:t>hinking and the Natural History of H</w:t>
      </w:r>
      <w:r w:rsidR="00427BA8" w:rsidRPr="006D3E1C">
        <w:rPr>
          <w:b/>
          <w:sz w:val="28"/>
          <w:szCs w:val="28"/>
        </w:rPr>
        <w:t>umankind</w:t>
      </w:r>
    </w:p>
    <w:p w14:paraId="31444C00" w14:textId="77777777" w:rsidR="00427BA8" w:rsidRPr="00CE0087" w:rsidRDefault="00427BA8" w:rsidP="00F22861">
      <w:pPr>
        <w:jc w:val="both"/>
        <w:rPr>
          <w:b/>
          <w:sz w:val="22"/>
          <w:u w:val="single"/>
        </w:rPr>
      </w:pPr>
    </w:p>
    <w:p w14:paraId="2300AADA" w14:textId="77777777" w:rsidR="00427BA8" w:rsidRPr="00CE0087" w:rsidRDefault="00427BA8" w:rsidP="00F22861">
      <w:pPr>
        <w:jc w:val="both"/>
        <w:rPr>
          <w:b/>
          <w:sz w:val="22"/>
          <w:u w:val="single"/>
        </w:rPr>
      </w:pPr>
    </w:p>
    <w:p w14:paraId="4942E117" w14:textId="02601119" w:rsidR="00AC66D7" w:rsidRDefault="00AC66D7" w:rsidP="00B35BB8">
      <w:pPr>
        <w:jc w:val="both"/>
        <w:outlineLvl w:val="0"/>
        <w:rPr>
          <w:rFonts w:ascii="Arial" w:hAnsi="Arial"/>
          <w:b/>
          <w:sz w:val="22"/>
        </w:rPr>
      </w:pPr>
      <w:r>
        <w:rPr>
          <w:rFonts w:ascii="Arial" w:hAnsi="Arial"/>
          <w:b/>
          <w:sz w:val="22"/>
        </w:rPr>
        <w:t>Matter without Materiality: The Algorithmic Turn</w:t>
      </w:r>
    </w:p>
    <w:p w14:paraId="6BA738CC" w14:textId="28B1D4F1" w:rsidR="00427BA8" w:rsidRPr="00D70885" w:rsidRDefault="00427BA8" w:rsidP="00F22861">
      <w:pPr>
        <w:jc w:val="both"/>
        <w:rPr>
          <w:rFonts w:ascii="Arial" w:hAnsi="Arial"/>
          <w:b/>
          <w:sz w:val="22"/>
        </w:rPr>
      </w:pPr>
    </w:p>
    <w:p w14:paraId="7DB3F485" w14:textId="116F2D24" w:rsidR="0062681A" w:rsidRDefault="00065CD2" w:rsidP="00F22861">
      <w:pPr>
        <w:jc w:val="both"/>
        <w:rPr>
          <w:sz w:val="22"/>
        </w:rPr>
      </w:pPr>
      <w:r>
        <w:rPr>
          <w:sz w:val="22"/>
          <w:lang w:val="en-US" w:bidi="en-US"/>
        </w:rPr>
        <w:t xml:space="preserve">In </w:t>
      </w:r>
      <w:r>
        <w:rPr>
          <w:i/>
          <w:sz w:val="22"/>
          <w:lang w:val="en-US" w:bidi="en-US"/>
        </w:rPr>
        <w:t>The Human Condition</w:t>
      </w:r>
      <w:r w:rsidR="00953AA0" w:rsidRPr="00953AA0">
        <w:rPr>
          <w:rStyle w:val="Fodnotehenvisning"/>
          <w:sz w:val="22"/>
          <w:lang w:val="en-US" w:bidi="en-US"/>
        </w:rPr>
        <w:footnoteReference w:id="1"/>
      </w:r>
      <w:r w:rsidR="00D02B27">
        <w:rPr>
          <w:i/>
          <w:sz w:val="22"/>
          <w:lang w:val="en-US" w:bidi="en-US"/>
        </w:rPr>
        <w:t xml:space="preserve">, </w:t>
      </w:r>
      <w:r w:rsidR="00217CFC">
        <w:rPr>
          <w:sz w:val="22"/>
          <w:lang w:val="en-US" w:bidi="en-US"/>
        </w:rPr>
        <w:t>Hannah Arendt described</w:t>
      </w:r>
      <w:r>
        <w:rPr>
          <w:sz w:val="22"/>
          <w:lang w:val="en-US" w:bidi="en-US"/>
        </w:rPr>
        <w:t xml:space="preserve"> </w:t>
      </w:r>
      <w:r w:rsidR="00C8096E">
        <w:rPr>
          <w:sz w:val="22"/>
          <w:lang w:val="en-US" w:bidi="en-US"/>
        </w:rPr>
        <w:t xml:space="preserve">with concern </w:t>
      </w:r>
      <w:r>
        <w:rPr>
          <w:sz w:val="22"/>
          <w:lang w:val="en-US" w:bidi="en-US"/>
        </w:rPr>
        <w:t>the way in</w:t>
      </w:r>
      <w:r w:rsidR="003D2DB4">
        <w:rPr>
          <w:sz w:val="22"/>
          <w:lang w:val="en-US" w:bidi="en-US"/>
        </w:rPr>
        <w:t xml:space="preserve"> which</w:t>
      </w:r>
      <w:r w:rsidR="00127630">
        <w:rPr>
          <w:sz w:val="22"/>
          <w:lang w:val="en-US" w:bidi="en-US"/>
        </w:rPr>
        <w:t xml:space="preserve"> images of</w:t>
      </w:r>
      <w:r w:rsidRPr="00CE0087">
        <w:rPr>
          <w:sz w:val="22"/>
          <w:lang w:val="en-US" w:bidi="en-US"/>
        </w:rPr>
        <w:t xml:space="preserve"> </w:t>
      </w:r>
      <w:r w:rsidRPr="00F83BBD">
        <w:rPr>
          <w:sz w:val="22"/>
          <w:lang w:val="en-US" w:bidi="en-US"/>
        </w:rPr>
        <w:t>process</w:t>
      </w:r>
      <w:r>
        <w:rPr>
          <w:sz w:val="22"/>
          <w:lang w:val="en-US" w:bidi="en-US"/>
        </w:rPr>
        <w:t>, algorithmic logic</w:t>
      </w:r>
      <w:r w:rsidR="001B29E4">
        <w:rPr>
          <w:sz w:val="22"/>
          <w:lang w:val="en-US" w:bidi="en-US"/>
        </w:rPr>
        <w:t>s</w:t>
      </w:r>
      <w:r>
        <w:rPr>
          <w:sz w:val="22"/>
          <w:lang w:val="en-US" w:bidi="en-US"/>
        </w:rPr>
        <w:t xml:space="preserve">, formalism, and bureaucracy </w:t>
      </w:r>
      <w:r w:rsidR="00217CFC">
        <w:rPr>
          <w:sz w:val="22"/>
          <w:lang w:val="en-US" w:bidi="en-US"/>
        </w:rPr>
        <w:t>were</w:t>
      </w:r>
      <w:r w:rsidR="00127630">
        <w:rPr>
          <w:sz w:val="22"/>
          <w:lang w:val="en-US" w:bidi="en-US"/>
        </w:rPr>
        <w:t xml:space="preserve"> already</w:t>
      </w:r>
      <w:r w:rsidR="00217CFC">
        <w:rPr>
          <w:sz w:val="22"/>
          <w:lang w:val="en-US" w:bidi="en-US"/>
        </w:rPr>
        <w:t xml:space="preserve"> becoming</w:t>
      </w:r>
      <w:r>
        <w:rPr>
          <w:sz w:val="22"/>
          <w:lang w:val="en-US" w:bidi="en-US"/>
        </w:rPr>
        <w:t xml:space="preserve"> privileged i</w:t>
      </w:r>
      <w:r w:rsidR="00217CFC">
        <w:rPr>
          <w:sz w:val="22"/>
          <w:lang w:val="en-US" w:bidi="en-US"/>
        </w:rPr>
        <w:t>n contemporary life. She worried</w:t>
      </w:r>
      <w:r>
        <w:rPr>
          <w:sz w:val="22"/>
          <w:lang w:val="en-US" w:bidi="en-US"/>
        </w:rPr>
        <w:t xml:space="preserve"> about the unworldliness</w:t>
      </w:r>
      <w:r w:rsidR="003D2DB4">
        <w:rPr>
          <w:sz w:val="22"/>
          <w:lang w:val="en-US" w:bidi="en-US"/>
        </w:rPr>
        <w:t xml:space="preserve">, </w:t>
      </w:r>
      <w:r w:rsidR="0080017B">
        <w:rPr>
          <w:sz w:val="22"/>
          <w:lang w:val="en-US" w:bidi="en-US"/>
        </w:rPr>
        <w:t xml:space="preserve">designed </w:t>
      </w:r>
      <w:r w:rsidR="003D2DB4">
        <w:rPr>
          <w:sz w:val="22"/>
          <w:lang w:val="en-US" w:bidi="en-US"/>
        </w:rPr>
        <w:t>obsolescence</w:t>
      </w:r>
      <w:r w:rsidR="002E7789">
        <w:rPr>
          <w:sz w:val="22"/>
          <w:lang w:val="en-US" w:bidi="en-US"/>
        </w:rPr>
        <w:t xml:space="preserve"> of things</w:t>
      </w:r>
      <w:r w:rsidR="003D2DB4">
        <w:rPr>
          <w:sz w:val="22"/>
          <w:lang w:val="en-US" w:bidi="en-US"/>
        </w:rPr>
        <w:t>,</w:t>
      </w:r>
      <w:r>
        <w:rPr>
          <w:sz w:val="22"/>
          <w:lang w:val="en-US" w:bidi="en-US"/>
        </w:rPr>
        <w:t xml:space="preserve"> and atomic individualism that consumerist society </w:t>
      </w:r>
      <w:r w:rsidR="003D2DB4">
        <w:rPr>
          <w:sz w:val="22"/>
          <w:lang w:val="en-US" w:bidi="en-US"/>
        </w:rPr>
        <w:t>was bringing</w:t>
      </w:r>
      <w:r>
        <w:rPr>
          <w:sz w:val="22"/>
          <w:lang w:val="en-US" w:bidi="en-US"/>
        </w:rPr>
        <w:t xml:space="preserve"> in its wake</w:t>
      </w:r>
      <w:r w:rsidR="003E18BD">
        <w:rPr>
          <w:sz w:val="22"/>
          <w:lang w:val="en-US" w:bidi="en-US"/>
        </w:rPr>
        <w:t xml:space="preserve">, and the implications of the loss of </w:t>
      </w:r>
      <w:r w:rsidR="003E18BD">
        <w:rPr>
          <w:i/>
          <w:sz w:val="22"/>
          <w:lang w:val="en-US" w:bidi="en-US"/>
        </w:rPr>
        <w:t xml:space="preserve">homo </w:t>
      </w:r>
      <w:proofErr w:type="spellStart"/>
      <w:r w:rsidR="003E18BD">
        <w:rPr>
          <w:i/>
          <w:sz w:val="22"/>
          <w:lang w:val="en-US" w:bidi="en-US"/>
        </w:rPr>
        <w:t>faber</w:t>
      </w:r>
      <w:proofErr w:type="spellEnd"/>
      <w:r w:rsidR="003E18BD">
        <w:rPr>
          <w:sz w:val="22"/>
          <w:lang w:val="en-US" w:bidi="en-US"/>
        </w:rPr>
        <w:t xml:space="preserve"> and of things built to last</w:t>
      </w:r>
      <w:r w:rsidR="00C8096E">
        <w:rPr>
          <w:sz w:val="22"/>
          <w:lang w:val="en-US" w:bidi="en-US"/>
        </w:rPr>
        <w:t>, and the corrosion of public spaces</w:t>
      </w:r>
      <w:r w:rsidRPr="00CE0087">
        <w:rPr>
          <w:sz w:val="22"/>
          <w:lang w:val="en-US" w:bidi="en-US"/>
        </w:rPr>
        <w:t xml:space="preserve">. </w:t>
      </w:r>
      <w:r w:rsidR="00FF1AD6">
        <w:rPr>
          <w:sz w:val="22"/>
          <w:lang w:val="en-US" w:bidi="en-US"/>
        </w:rPr>
        <w:t>This has arguably been inten</w:t>
      </w:r>
      <w:r w:rsidR="00C8096E">
        <w:rPr>
          <w:sz w:val="22"/>
          <w:lang w:val="en-US" w:bidi="en-US"/>
        </w:rPr>
        <w:t>sified in an era of big data,</w:t>
      </w:r>
      <w:r w:rsidR="00FF1AD6">
        <w:rPr>
          <w:sz w:val="22"/>
          <w:lang w:val="en-US" w:bidi="en-US"/>
        </w:rPr>
        <w:t xml:space="preserve"> machine learning</w:t>
      </w:r>
      <w:r w:rsidR="00C8096E">
        <w:rPr>
          <w:sz w:val="22"/>
          <w:lang w:val="en-US" w:bidi="en-US"/>
        </w:rPr>
        <w:t xml:space="preserve"> and automation of work</w:t>
      </w:r>
      <w:r w:rsidR="00FF1AD6">
        <w:rPr>
          <w:sz w:val="22"/>
          <w:lang w:val="en-US" w:bidi="en-US"/>
        </w:rPr>
        <w:t xml:space="preserve">. </w:t>
      </w:r>
      <w:r w:rsidR="0062681A">
        <w:rPr>
          <w:sz w:val="22"/>
        </w:rPr>
        <w:t xml:space="preserve">I do not raise these concerns in order to appeal to a nostalgic image of the human, although I want to hold on to a variant of </w:t>
      </w:r>
      <w:r w:rsidR="0062681A">
        <w:rPr>
          <w:i/>
          <w:sz w:val="22"/>
        </w:rPr>
        <w:t xml:space="preserve">homo </w:t>
      </w:r>
      <w:proofErr w:type="spellStart"/>
      <w:r w:rsidR="0062681A">
        <w:rPr>
          <w:i/>
          <w:sz w:val="22"/>
        </w:rPr>
        <w:t>faber</w:t>
      </w:r>
      <w:proofErr w:type="spellEnd"/>
      <w:r w:rsidR="0062681A">
        <w:rPr>
          <w:i/>
          <w:sz w:val="22"/>
        </w:rPr>
        <w:t xml:space="preserve"> </w:t>
      </w:r>
      <w:r w:rsidR="0062681A">
        <w:rPr>
          <w:sz w:val="22"/>
        </w:rPr>
        <w:t xml:space="preserve">as the technological species, whilst resisting those behavioural logics that risk reducing humans to a complex concatenation of data points, and education and learning to information processing. I wish to keep in mind the ways in which materiality, matter, and bodies can be occluded or forgotten, in particular when bureaucratic and computational modalities of thinking over-code different and distinct fields of knowledge, including those that have both constituted and cultivated the subject matters that have occupied human endeavour over millennia, whereby the learning is bound up with </w:t>
      </w:r>
      <w:proofErr w:type="gramStart"/>
      <w:r w:rsidR="0062681A">
        <w:rPr>
          <w:sz w:val="22"/>
        </w:rPr>
        <w:t>the</w:t>
      </w:r>
      <w:proofErr w:type="gramEnd"/>
      <w:r w:rsidR="0062681A">
        <w:rPr>
          <w:sz w:val="22"/>
        </w:rPr>
        <w:t xml:space="preserve"> doing. </w:t>
      </w:r>
    </w:p>
    <w:p w14:paraId="7432BA8B" w14:textId="77777777" w:rsidR="0062681A" w:rsidRDefault="0062681A" w:rsidP="00F22861">
      <w:pPr>
        <w:jc w:val="both"/>
        <w:rPr>
          <w:sz w:val="22"/>
        </w:rPr>
      </w:pPr>
    </w:p>
    <w:p w14:paraId="510C4889" w14:textId="5DB22A1F" w:rsidR="00217CFC" w:rsidRDefault="0062681A" w:rsidP="00F22861">
      <w:pPr>
        <w:jc w:val="both"/>
        <w:rPr>
          <w:sz w:val="22"/>
        </w:rPr>
      </w:pPr>
      <w:r>
        <w:rPr>
          <w:sz w:val="22"/>
          <w:lang w:val="en-US" w:bidi="en-US"/>
        </w:rPr>
        <w:t xml:space="preserve">The image of the student and the image of the worker are increasingly made equivalent. </w:t>
      </w:r>
      <w:proofErr w:type="spellStart"/>
      <w:r w:rsidR="00953AA0">
        <w:rPr>
          <w:sz w:val="22"/>
          <w:lang w:val="en-US" w:bidi="en-US"/>
        </w:rPr>
        <w:t>Virno</w:t>
      </w:r>
      <w:proofErr w:type="spellEnd"/>
      <w:r w:rsidR="00953AA0">
        <w:rPr>
          <w:rStyle w:val="Fodnotehenvisning"/>
          <w:sz w:val="22"/>
          <w:lang w:val="en-US" w:bidi="en-US"/>
        </w:rPr>
        <w:footnoteReference w:id="2"/>
      </w:r>
      <w:r w:rsidR="00953AA0">
        <w:rPr>
          <w:sz w:val="22"/>
          <w:lang w:val="en-US" w:bidi="en-US"/>
        </w:rPr>
        <w:t xml:space="preserve"> claims that</w:t>
      </w:r>
      <w:r w:rsidR="00C8096E">
        <w:rPr>
          <w:sz w:val="22"/>
          <w:lang w:val="en-US" w:bidi="en-US"/>
        </w:rPr>
        <w:t xml:space="preserve"> today</w:t>
      </w:r>
      <w:r w:rsidR="00953AA0">
        <w:rPr>
          <w:sz w:val="22"/>
          <w:lang w:val="en-US" w:bidi="en-US"/>
        </w:rPr>
        <w:t xml:space="preserve"> </w:t>
      </w:r>
      <w:r w:rsidR="00217CFC">
        <w:rPr>
          <w:sz w:val="22"/>
          <w:lang w:val="en-US" w:bidi="en-US"/>
        </w:rPr>
        <w:t>t</w:t>
      </w:r>
      <w:r w:rsidR="00065CD2">
        <w:rPr>
          <w:sz w:val="22"/>
          <w:lang w:val="en-US" w:bidi="en-US"/>
        </w:rPr>
        <w:t xml:space="preserve">he new wage </w:t>
      </w:r>
      <w:proofErr w:type="spellStart"/>
      <w:r w:rsidR="00065CD2">
        <w:rPr>
          <w:sz w:val="22"/>
          <w:lang w:val="en-US" w:bidi="en-US"/>
        </w:rPr>
        <w:t>labourer</w:t>
      </w:r>
      <w:proofErr w:type="spellEnd"/>
      <w:r w:rsidR="00065CD2">
        <w:rPr>
          <w:sz w:val="22"/>
          <w:lang w:val="en-US" w:bidi="en-US"/>
        </w:rPr>
        <w:t xml:space="preserve"> </w:t>
      </w:r>
      <w:r w:rsidR="003D2DB4">
        <w:rPr>
          <w:sz w:val="22"/>
          <w:lang w:val="en-US" w:bidi="en-US"/>
        </w:rPr>
        <w:t>must exemplify</w:t>
      </w:r>
      <w:r w:rsidR="00217CFC">
        <w:rPr>
          <w:sz w:val="22"/>
          <w:lang w:val="en-US" w:bidi="en-US"/>
        </w:rPr>
        <w:t xml:space="preserve"> </w:t>
      </w:r>
      <w:r w:rsidR="00065CD2" w:rsidRPr="00CE0087">
        <w:rPr>
          <w:sz w:val="22"/>
          <w:lang w:val="en-US" w:bidi="en-US"/>
        </w:rPr>
        <w:t xml:space="preserve">‘habitual mobility, the ability to keep pace with extremely rapid conversions, adaptability in every enterprise, flexibility in moving from one group of rules to another, aptitude for both banal and </w:t>
      </w:r>
      <w:proofErr w:type="spellStart"/>
      <w:r w:rsidR="00065CD2" w:rsidRPr="00CE0087">
        <w:rPr>
          <w:sz w:val="22"/>
          <w:lang w:val="en-US" w:bidi="en-US"/>
        </w:rPr>
        <w:t>omnilateral</w:t>
      </w:r>
      <w:proofErr w:type="spellEnd"/>
      <w:r w:rsidR="00065CD2" w:rsidRPr="00CE0087">
        <w:rPr>
          <w:sz w:val="22"/>
          <w:lang w:val="en-US" w:bidi="en-US"/>
        </w:rPr>
        <w:t xml:space="preserve"> linguistic interaction, command of the flow of information, and the ability to navigate among</w:t>
      </w:r>
      <w:r w:rsidR="00953AA0">
        <w:rPr>
          <w:sz w:val="22"/>
          <w:lang w:val="en-US" w:bidi="en-US"/>
        </w:rPr>
        <w:t xml:space="preserve"> limited possible alternatives</w:t>
      </w:r>
      <w:r w:rsidR="00B35BB8">
        <w:rPr>
          <w:sz w:val="22"/>
          <w:lang w:val="en-US" w:bidi="en-US"/>
        </w:rPr>
        <w:t>”</w:t>
      </w:r>
      <w:r w:rsidR="00953AA0">
        <w:rPr>
          <w:sz w:val="22"/>
          <w:lang w:val="en-US" w:bidi="en-US"/>
        </w:rPr>
        <w:t xml:space="preserve">, </w:t>
      </w:r>
      <w:r w:rsidR="0080017B">
        <w:rPr>
          <w:sz w:val="22"/>
          <w:lang w:val="en-US" w:bidi="en-US"/>
        </w:rPr>
        <w:t>i</w:t>
      </w:r>
      <w:r w:rsidR="00065CD2" w:rsidRPr="00CE0087">
        <w:rPr>
          <w:sz w:val="22"/>
          <w:lang w:val="en-US" w:bidi="en-US"/>
        </w:rPr>
        <w:t xml:space="preserve">n short, </w:t>
      </w:r>
      <w:r w:rsidR="00B35BB8">
        <w:rPr>
          <w:sz w:val="22"/>
          <w:lang w:val="en-US" w:bidi="en-US"/>
        </w:rPr>
        <w:t>“</w:t>
      </w:r>
      <w:r w:rsidR="00065CD2" w:rsidRPr="00CE0087">
        <w:rPr>
          <w:sz w:val="22"/>
          <w:lang w:val="en-US" w:bidi="en-US"/>
        </w:rPr>
        <w:t>the habit of devel</w:t>
      </w:r>
      <w:r w:rsidR="00953AA0">
        <w:rPr>
          <w:sz w:val="22"/>
          <w:lang w:val="en-US" w:bidi="en-US"/>
        </w:rPr>
        <w:t>oping no durable habits at all</w:t>
      </w:r>
      <w:r w:rsidR="00B35BB8">
        <w:rPr>
          <w:sz w:val="22"/>
          <w:lang w:val="en-US" w:bidi="en-US"/>
        </w:rPr>
        <w:t>”</w:t>
      </w:r>
      <w:r w:rsidR="00953AA0">
        <w:rPr>
          <w:rStyle w:val="Fodnotehenvisning"/>
          <w:sz w:val="22"/>
          <w:lang w:val="en-US" w:bidi="en-US"/>
        </w:rPr>
        <w:footnoteReference w:id="3"/>
      </w:r>
      <w:r w:rsidR="00953AA0">
        <w:rPr>
          <w:sz w:val="22"/>
          <w:lang w:val="en-US" w:bidi="en-US"/>
        </w:rPr>
        <w:t xml:space="preserve">. </w:t>
      </w:r>
      <w:r w:rsidR="00065CD2">
        <w:rPr>
          <w:sz w:val="22"/>
          <w:lang w:val="en-US" w:bidi="en-US"/>
        </w:rPr>
        <w:t>Elements of this image of the worker have gravitated into global policy discourses in education</w:t>
      </w:r>
      <w:r w:rsidR="00217CFC">
        <w:rPr>
          <w:sz w:val="22"/>
          <w:lang w:val="en-US" w:bidi="en-US"/>
        </w:rPr>
        <w:t xml:space="preserve"> and research</w:t>
      </w:r>
      <w:r w:rsidR="00065CD2">
        <w:rPr>
          <w:sz w:val="22"/>
          <w:lang w:val="en-US" w:bidi="en-US"/>
        </w:rPr>
        <w:t xml:space="preserve">. </w:t>
      </w:r>
      <w:r>
        <w:rPr>
          <w:sz w:val="22"/>
        </w:rPr>
        <w:t xml:space="preserve">The </w:t>
      </w:r>
      <w:r w:rsidR="0081117C">
        <w:rPr>
          <w:sz w:val="22"/>
        </w:rPr>
        <w:t>tendency to adopt</w:t>
      </w:r>
      <w:r w:rsidR="00C8096E">
        <w:rPr>
          <w:sz w:val="22"/>
        </w:rPr>
        <w:t xml:space="preserve"> forms of</w:t>
      </w:r>
      <w:r w:rsidR="0081117C">
        <w:rPr>
          <w:sz w:val="22"/>
        </w:rPr>
        <w:t xml:space="preserve"> </w:t>
      </w:r>
      <w:r w:rsidR="003A4C9D">
        <w:rPr>
          <w:sz w:val="22"/>
        </w:rPr>
        <w:t>‘</w:t>
      </w:r>
      <w:r w:rsidR="0081117C">
        <w:rPr>
          <w:sz w:val="22"/>
        </w:rPr>
        <w:t>info</w:t>
      </w:r>
      <w:r w:rsidR="003A4C9D">
        <w:rPr>
          <w:sz w:val="22"/>
        </w:rPr>
        <w:t>’</w:t>
      </w:r>
      <w:r w:rsidR="0081117C">
        <w:rPr>
          <w:sz w:val="22"/>
        </w:rPr>
        <w:t xml:space="preserve"> or </w:t>
      </w:r>
      <w:r w:rsidR="003A4C9D">
        <w:rPr>
          <w:sz w:val="22"/>
        </w:rPr>
        <w:t>‘</w:t>
      </w:r>
      <w:r w:rsidR="0081117C">
        <w:rPr>
          <w:sz w:val="22"/>
        </w:rPr>
        <w:t>skills</w:t>
      </w:r>
      <w:r w:rsidR="003A4C9D">
        <w:rPr>
          <w:sz w:val="22"/>
        </w:rPr>
        <w:t>’</w:t>
      </w:r>
      <w:r w:rsidR="0081117C">
        <w:rPr>
          <w:sz w:val="22"/>
        </w:rPr>
        <w:t xml:space="preserve"> talk that abstract generic and transferable </w:t>
      </w:r>
      <w:r>
        <w:rPr>
          <w:sz w:val="22"/>
        </w:rPr>
        <w:t xml:space="preserve">skills from specific practices can make it seem that </w:t>
      </w:r>
      <w:r w:rsidR="0081117C">
        <w:rPr>
          <w:sz w:val="22"/>
        </w:rPr>
        <w:t>that we are witnessin</w:t>
      </w:r>
      <w:r w:rsidR="00217CFC">
        <w:rPr>
          <w:sz w:val="22"/>
        </w:rPr>
        <w:t>g</w:t>
      </w:r>
      <w:r w:rsidR="0081117C">
        <w:rPr>
          <w:sz w:val="22"/>
        </w:rPr>
        <w:t xml:space="preserve"> the dawn of a new era, not of Man as </w:t>
      </w:r>
      <w:r w:rsidR="007F70E9">
        <w:rPr>
          <w:sz w:val="22"/>
        </w:rPr>
        <w:t>Machine, but Human as Algorithm.</w:t>
      </w:r>
      <w:r w:rsidR="00C8096E">
        <w:rPr>
          <w:sz w:val="22"/>
        </w:rPr>
        <w:t xml:space="preserve"> Although this paper won’t deal with the ‘algorithmic turn’ and our contemporary condition in detail, it raises questions about some of the implications of formal and procedural logics in other domains</w:t>
      </w:r>
      <w:r w:rsidR="003A4C9D">
        <w:rPr>
          <w:sz w:val="22"/>
        </w:rPr>
        <w:t>, such as education, when education itself appears to be evacuated of content</w:t>
      </w:r>
      <w:r w:rsidR="00C8096E">
        <w:rPr>
          <w:sz w:val="22"/>
        </w:rPr>
        <w:t xml:space="preserve">. </w:t>
      </w:r>
      <w:r>
        <w:rPr>
          <w:sz w:val="22"/>
        </w:rPr>
        <w:t>Even if education involves skills, it is not equivalent to skills acquisition. One becomes educated about something, or rather many things, and knowing, thinking and understand require intimacy with the subject matter; it is the practice of engagement through which we encounter the world, the stories of the past, the natural history of humankind.</w:t>
      </w:r>
    </w:p>
    <w:p w14:paraId="783100E7" w14:textId="3914D146" w:rsidR="00065CD2" w:rsidRDefault="00065CD2" w:rsidP="00F22861">
      <w:pPr>
        <w:jc w:val="both"/>
        <w:rPr>
          <w:sz w:val="22"/>
        </w:rPr>
      </w:pPr>
    </w:p>
    <w:p w14:paraId="3B5EBCC2" w14:textId="0FF1FB7A" w:rsidR="00AF12BC" w:rsidRDefault="0081117C" w:rsidP="00F22861">
      <w:pPr>
        <w:jc w:val="both"/>
        <w:rPr>
          <w:sz w:val="22"/>
        </w:rPr>
      </w:pPr>
      <w:r>
        <w:rPr>
          <w:sz w:val="22"/>
        </w:rPr>
        <w:t xml:space="preserve">Information talk and skills talk risk ushering in a new </w:t>
      </w:r>
      <w:proofErr w:type="spellStart"/>
      <w:r>
        <w:rPr>
          <w:sz w:val="22"/>
        </w:rPr>
        <w:t>Cartesianism</w:t>
      </w:r>
      <w:proofErr w:type="spellEnd"/>
      <w:r>
        <w:rPr>
          <w:sz w:val="22"/>
        </w:rPr>
        <w:t xml:space="preserve"> if they intimate, through metaphor and image, that information and skills can exist not only exist without bodies</w:t>
      </w:r>
      <w:r w:rsidR="003E18BD">
        <w:rPr>
          <w:sz w:val="22"/>
        </w:rPr>
        <w:t>, organisms, artefacts</w:t>
      </w:r>
      <w:r>
        <w:rPr>
          <w:sz w:val="22"/>
        </w:rPr>
        <w:t xml:space="preserve"> </w:t>
      </w:r>
      <w:r w:rsidR="003E18BD">
        <w:rPr>
          <w:sz w:val="22"/>
        </w:rPr>
        <w:t>or</w:t>
      </w:r>
      <w:r>
        <w:rPr>
          <w:sz w:val="22"/>
        </w:rPr>
        <w:t xml:space="preserve"> matter but</w:t>
      </w:r>
      <w:r w:rsidR="00ED692A">
        <w:rPr>
          <w:sz w:val="22"/>
        </w:rPr>
        <w:t xml:space="preserve"> also</w:t>
      </w:r>
      <w:r>
        <w:rPr>
          <w:sz w:val="22"/>
        </w:rPr>
        <w:t xml:space="preserve"> can have </w:t>
      </w:r>
      <w:r w:rsidR="00A72FB0">
        <w:rPr>
          <w:sz w:val="22"/>
        </w:rPr>
        <w:t xml:space="preserve">causal </w:t>
      </w:r>
      <w:r>
        <w:rPr>
          <w:sz w:val="22"/>
        </w:rPr>
        <w:t>agency</w:t>
      </w:r>
      <w:r w:rsidR="003E18BD">
        <w:rPr>
          <w:sz w:val="22"/>
        </w:rPr>
        <w:t xml:space="preserve"> despite such abstract character</w:t>
      </w:r>
      <w:r w:rsidR="005126D8">
        <w:rPr>
          <w:sz w:val="22"/>
        </w:rPr>
        <w:t xml:space="preserve">. </w:t>
      </w:r>
      <w:r w:rsidR="00A72FB0">
        <w:rPr>
          <w:sz w:val="22"/>
        </w:rPr>
        <w:t>The</w:t>
      </w:r>
      <w:r w:rsidR="005126D8">
        <w:rPr>
          <w:sz w:val="22"/>
        </w:rPr>
        <w:t xml:space="preserve"> discourses and the practices that emerge from </w:t>
      </w:r>
      <w:r w:rsidR="003E18BD">
        <w:rPr>
          <w:sz w:val="22"/>
        </w:rPr>
        <w:t>the language of ‘skills talk’</w:t>
      </w:r>
      <w:r w:rsidR="001848B8">
        <w:rPr>
          <w:sz w:val="22"/>
        </w:rPr>
        <w:t xml:space="preserve"> </w:t>
      </w:r>
      <w:r w:rsidR="00A72FB0">
        <w:rPr>
          <w:sz w:val="22"/>
        </w:rPr>
        <w:t xml:space="preserve">risk </w:t>
      </w:r>
      <w:r w:rsidR="001848B8">
        <w:rPr>
          <w:sz w:val="22"/>
        </w:rPr>
        <w:t>both</w:t>
      </w:r>
      <w:r w:rsidR="00D47F7B">
        <w:rPr>
          <w:sz w:val="22"/>
        </w:rPr>
        <w:t xml:space="preserve"> ‘thin</w:t>
      </w:r>
      <w:r w:rsidR="00A72FB0">
        <w:rPr>
          <w:sz w:val="22"/>
        </w:rPr>
        <w:t>ning</w:t>
      </w:r>
      <w:r w:rsidR="00D47F7B">
        <w:rPr>
          <w:sz w:val="22"/>
        </w:rPr>
        <w:t>’</w:t>
      </w:r>
      <w:r w:rsidR="006E0D1D">
        <w:rPr>
          <w:sz w:val="22"/>
        </w:rPr>
        <w:t xml:space="preserve"> and proliferating</w:t>
      </w:r>
      <w:r w:rsidR="00D47F7B">
        <w:rPr>
          <w:sz w:val="22"/>
        </w:rPr>
        <w:t xml:space="preserve"> experience</w:t>
      </w:r>
      <w:r w:rsidR="00A72FB0">
        <w:rPr>
          <w:sz w:val="22"/>
        </w:rPr>
        <w:t xml:space="preserve"> because they have little too hang on to</w:t>
      </w:r>
      <w:r w:rsidR="006E0D1D">
        <w:rPr>
          <w:sz w:val="22"/>
        </w:rPr>
        <w:t xml:space="preserve">, and because reaction times </w:t>
      </w:r>
      <w:r w:rsidR="003E18BD">
        <w:rPr>
          <w:sz w:val="22"/>
        </w:rPr>
        <w:t xml:space="preserve">and demands </w:t>
      </w:r>
      <w:r w:rsidR="004D2430">
        <w:rPr>
          <w:sz w:val="22"/>
        </w:rPr>
        <w:t xml:space="preserve">on our attention </w:t>
      </w:r>
      <w:r w:rsidR="006E0D1D">
        <w:rPr>
          <w:sz w:val="22"/>
        </w:rPr>
        <w:t>are accelerated</w:t>
      </w:r>
      <w:r>
        <w:rPr>
          <w:sz w:val="22"/>
        </w:rPr>
        <w:t xml:space="preserve">. </w:t>
      </w:r>
      <w:r w:rsidR="001848B8">
        <w:rPr>
          <w:sz w:val="22"/>
        </w:rPr>
        <w:t>We are technical beings but we are also finite animals</w:t>
      </w:r>
      <w:r w:rsidR="006E0D1D">
        <w:rPr>
          <w:sz w:val="22"/>
        </w:rPr>
        <w:t>, organisms</w:t>
      </w:r>
      <w:r w:rsidR="001848B8">
        <w:rPr>
          <w:sz w:val="22"/>
        </w:rPr>
        <w:t xml:space="preserve"> with limited capa</w:t>
      </w:r>
      <w:r w:rsidR="006E0D1D">
        <w:rPr>
          <w:sz w:val="22"/>
        </w:rPr>
        <w:t>cities</w:t>
      </w:r>
      <w:r w:rsidR="001848B8">
        <w:rPr>
          <w:sz w:val="22"/>
        </w:rPr>
        <w:t xml:space="preserve"> for integrating that which we encounter, perceive and undergo. </w:t>
      </w:r>
      <w:r w:rsidR="00092817">
        <w:rPr>
          <w:rFonts w:cs="TimesNewRomanPSMT"/>
          <w:sz w:val="22"/>
          <w:lang w:val="en-US" w:bidi="en-US"/>
        </w:rPr>
        <w:t>If, as authors like Berardi</w:t>
      </w:r>
      <w:r w:rsidR="00B0291D">
        <w:rPr>
          <w:rStyle w:val="Fodnotehenvisning"/>
          <w:rFonts w:cs="TimesNewRomanPSMT"/>
          <w:sz w:val="22"/>
          <w:lang w:val="en-US" w:bidi="en-US"/>
        </w:rPr>
        <w:footnoteReference w:id="4"/>
      </w:r>
      <w:r w:rsidR="00092817">
        <w:rPr>
          <w:rFonts w:cs="TimesNewRomanPSMT"/>
          <w:sz w:val="22"/>
          <w:lang w:val="en-US" w:bidi="en-US"/>
        </w:rPr>
        <w:t xml:space="preserve"> argue, we are witnessing a de-</w:t>
      </w:r>
      <w:proofErr w:type="spellStart"/>
      <w:r w:rsidR="00092817">
        <w:rPr>
          <w:rFonts w:cs="TimesNewRomanPSMT"/>
          <w:sz w:val="22"/>
          <w:lang w:val="en-US" w:bidi="en-US"/>
        </w:rPr>
        <w:t>materialising</w:t>
      </w:r>
      <w:proofErr w:type="spellEnd"/>
      <w:r w:rsidR="00092817">
        <w:rPr>
          <w:rFonts w:cs="TimesNewRomanPSMT"/>
          <w:sz w:val="22"/>
          <w:lang w:val="en-US" w:bidi="en-US"/>
        </w:rPr>
        <w:t xml:space="preserve"> turn</w:t>
      </w:r>
      <w:r w:rsidR="00773A85">
        <w:rPr>
          <w:rFonts w:cs="TimesNewRomanPSMT"/>
          <w:sz w:val="22"/>
          <w:lang w:val="en-US" w:bidi="en-US"/>
        </w:rPr>
        <w:t xml:space="preserve"> </w:t>
      </w:r>
      <w:r w:rsidR="00092817">
        <w:rPr>
          <w:rFonts w:cs="TimesNewRomanPSMT"/>
          <w:sz w:val="22"/>
          <w:lang w:val="en-US" w:bidi="en-US"/>
        </w:rPr>
        <w:t>in relation to</w:t>
      </w:r>
      <w:r w:rsidR="00773A85">
        <w:rPr>
          <w:rFonts w:cs="TimesNewRomanPSMT"/>
          <w:sz w:val="22"/>
          <w:lang w:val="en-US" w:bidi="en-US"/>
        </w:rPr>
        <w:t xml:space="preserve"> areas as diverse as</w:t>
      </w:r>
      <w:r w:rsidR="00092817">
        <w:rPr>
          <w:rFonts w:cs="TimesNewRomanPSMT"/>
          <w:sz w:val="22"/>
          <w:lang w:val="en-US" w:bidi="en-US"/>
        </w:rPr>
        <w:t xml:space="preserve"> education, work, and biology, it </w:t>
      </w:r>
      <w:r w:rsidR="005126D8">
        <w:rPr>
          <w:rFonts w:cs="TimesNewRomanPSMT"/>
          <w:sz w:val="22"/>
          <w:lang w:val="en-US" w:bidi="en-US"/>
        </w:rPr>
        <w:t>may be</w:t>
      </w:r>
      <w:r w:rsidR="00092817">
        <w:rPr>
          <w:rFonts w:cs="TimesNewRomanPSMT"/>
          <w:sz w:val="22"/>
          <w:lang w:val="en-US" w:bidi="en-US"/>
        </w:rPr>
        <w:t xml:space="preserve"> helpful to move from the meta-disc</w:t>
      </w:r>
      <w:r w:rsidR="005126D8">
        <w:rPr>
          <w:rFonts w:cs="TimesNewRomanPSMT"/>
          <w:sz w:val="22"/>
          <w:lang w:val="en-US" w:bidi="en-US"/>
        </w:rPr>
        <w:t>ourses about thinking and skill</w:t>
      </w:r>
      <w:r w:rsidR="009248DD">
        <w:rPr>
          <w:rFonts w:cs="TimesNewRomanPSMT"/>
          <w:sz w:val="22"/>
          <w:lang w:val="en-US" w:bidi="en-US"/>
        </w:rPr>
        <w:t>s</w:t>
      </w:r>
      <w:r w:rsidR="00092817">
        <w:rPr>
          <w:rFonts w:cs="TimesNewRomanPSMT"/>
          <w:sz w:val="22"/>
          <w:lang w:val="en-US" w:bidi="en-US"/>
        </w:rPr>
        <w:t xml:space="preserve"> in order to explore some of the ways in which thinking is </w:t>
      </w:r>
      <w:r w:rsidR="00265A8F">
        <w:rPr>
          <w:rFonts w:cs="TimesNewRomanPSMT"/>
          <w:sz w:val="22"/>
          <w:lang w:val="en-US" w:bidi="en-US"/>
        </w:rPr>
        <w:t>described</w:t>
      </w:r>
      <w:r w:rsidR="00ED692A">
        <w:rPr>
          <w:rFonts w:cs="TimesNewRomanPSMT"/>
          <w:sz w:val="22"/>
          <w:lang w:val="en-US" w:bidi="en-US"/>
        </w:rPr>
        <w:t xml:space="preserve"> by those engaging in the practice of thinking across a range of domains</w:t>
      </w:r>
      <w:r w:rsidR="00092817">
        <w:rPr>
          <w:rFonts w:cs="TimesNewRomanPSMT"/>
          <w:sz w:val="22"/>
          <w:lang w:val="en-US" w:bidi="en-US"/>
        </w:rPr>
        <w:t xml:space="preserve">. </w:t>
      </w:r>
      <w:proofErr w:type="gramStart"/>
      <w:r w:rsidR="00A72FB0">
        <w:rPr>
          <w:sz w:val="22"/>
        </w:rPr>
        <w:t>Drawing attention to</w:t>
      </w:r>
      <w:r w:rsidR="008A5135">
        <w:rPr>
          <w:sz w:val="22"/>
        </w:rPr>
        <w:t xml:space="preserve"> pluralistic and material practices of thinking </w:t>
      </w:r>
      <w:r w:rsidR="00A72FB0">
        <w:rPr>
          <w:sz w:val="22"/>
        </w:rPr>
        <w:t xml:space="preserve">helps to </w:t>
      </w:r>
      <w:r w:rsidR="0080017B">
        <w:rPr>
          <w:sz w:val="22"/>
        </w:rPr>
        <w:t xml:space="preserve">contest </w:t>
      </w:r>
      <w:r w:rsidR="00092817">
        <w:rPr>
          <w:sz w:val="22"/>
        </w:rPr>
        <w:t>charge</w:t>
      </w:r>
      <w:r w:rsidR="00A72FB0">
        <w:rPr>
          <w:sz w:val="22"/>
        </w:rPr>
        <w:t>s</w:t>
      </w:r>
      <w:r w:rsidR="008A5135">
        <w:rPr>
          <w:sz w:val="22"/>
        </w:rPr>
        <w:t xml:space="preserve"> of</w:t>
      </w:r>
      <w:r w:rsidR="00A72FB0">
        <w:rPr>
          <w:sz w:val="22"/>
        </w:rPr>
        <w:t xml:space="preserve"> both</w:t>
      </w:r>
      <w:r w:rsidR="008A5135">
        <w:rPr>
          <w:sz w:val="22"/>
        </w:rPr>
        <w:t xml:space="preserve"> anthropocentrism</w:t>
      </w:r>
      <w:r w:rsidR="00A72FB0">
        <w:rPr>
          <w:sz w:val="22"/>
        </w:rPr>
        <w:t xml:space="preserve"> and crude relativism</w:t>
      </w:r>
      <w:r w:rsidR="008A5135">
        <w:rPr>
          <w:sz w:val="22"/>
        </w:rPr>
        <w:t xml:space="preserve"> by encouraging awareness of the ways that humans</w:t>
      </w:r>
      <w:r w:rsidR="009248DD">
        <w:rPr>
          <w:sz w:val="22"/>
        </w:rPr>
        <w:t>, things</w:t>
      </w:r>
      <w:r w:rsidR="008A5135">
        <w:rPr>
          <w:sz w:val="22"/>
        </w:rPr>
        <w:t xml:space="preserve"> and other </w:t>
      </w:r>
      <w:r w:rsidR="009248DD">
        <w:rPr>
          <w:sz w:val="22"/>
        </w:rPr>
        <w:t>organisms</w:t>
      </w:r>
      <w:r w:rsidR="008A5135">
        <w:rPr>
          <w:sz w:val="22"/>
        </w:rPr>
        <w:t xml:space="preserve"> are embedded and entangled in relationships at multiple levels from </w:t>
      </w:r>
      <w:r w:rsidR="005126D8">
        <w:rPr>
          <w:sz w:val="22"/>
        </w:rPr>
        <w:t xml:space="preserve">the </w:t>
      </w:r>
      <w:r w:rsidR="008A5135">
        <w:rPr>
          <w:sz w:val="22"/>
        </w:rPr>
        <w:t>bacteria that populate bodies to the retina’s relationship with light waves.</w:t>
      </w:r>
      <w:proofErr w:type="gramEnd"/>
      <w:r w:rsidR="008A5135">
        <w:rPr>
          <w:sz w:val="22"/>
        </w:rPr>
        <w:t xml:space="preserve"> A</w:t>
      </w:r>
      <w:r>
        <w:rPr>
          <w:sz w:val="22"/>
        </w:rPr>
        <w:t xml:space="preserve"> </w:t>
      </w:r>
      <w:r w:rsidR="007761E8">
        <w:rPr>
          <w:sz w:val="22"/>
        </w:rPr>
        <w:t>pluralistic</w:t>
      </w:r>
      <w:r w:rsidR="00A72FB0">
        <w:rPr>
          <w:sz w:val="22"/>
        </w:rPr>
        <w:t xml:space="preserve">, </w:t>
      </w:r>
      <w:r w:rsidR="005F2A32">
        <w:rPr>
          <w:sz w:val="22"/>
        </w:rPr>
        <w:t>emergent</w:t>
      </w:r>
      <w:r w:rsidR="007761E8">
        <w:rPr>
          <w:sz w:val="22"/>
        </w:rPr>
        <w:t xml:space="preserve"> and attenuated approach to thinking</w:t>
      </w:r>
      <w:r>
        <w:rPr>
          <w:sz w:val="22"/>
        </w:rPr>
        <w:t xml:space="preserve"> under</w:t>
      </w:r>
      <w:r w:rsidR="007F70E9">
        <w:rPr>
          <w:sz w:val="22"/>
        </w:rPr>
        <w:t xml:space="preserve">stands all thinking </w:t>
      </w:r>
      <w:r w:rsidR="00A72FB0">
        <w:rPr>
          <w:sz w:val="22"/>
        </w:rPr>
        <w:t xml:space="preserve">with, through and about a subject matter </w:t>
      </w:r>
      <w:r w:rsidR="007F70E9">
        <w:rPr>
          <w:sz w:val="22"/>
        </w:rPr>
        <w:t>as material and contextual</w:t>
      </w:r>
      <w:r w:rsidR="001848B8">
        <w:rPr>
          <w:sz w:val="22"/>
        </w:rPr>
        <w:t>,</w:t>
      </w:r>
      <w:r>
        <w:rPr>
          <w:sz w:val="22"/>
        </w:rPr>
        <w:t xml:space="preserve"> be it working with symbols in logic or</w:t>
      </w:r>
      <w:r w:rsidR="001848B8">
        <w:rPr>
          <w:sz w:val="22"/>
        </w:rPr>
        <w:t xml:space="preserve"> mathematic equations or</w:t>
      </w:r>
      <w:r>
        <w:rPr>
          <w:sz w:val="22"/>
        </w:rPr>
        <w:t xml:space="preserve"> gesture in choreography</w:t>
      </w:r>
      <w:r w:rsidR="00A72FB0">
        <w:rPr>
          <w:sz w:val="22"/>
        </w:rPr>
        <w:t>. It</w:t>
      </w:r>
      <w:r w:rsidR="007F70E9">
        <w:rPr>
          <w:sz w:val="22"/>
        </w:rPr>
        <w:t xml:space="preserve"> does not</w:t>
      </w:r>
      <w:r w:rsidR="001848B8">
        <w:rPr>
          <w:sz w:val="22"/>
        </w:rPr>
        <w:t xml:space="preserve"> seek to</w:t>
      </w:r>
      <w:r w:rsidR="007F70E9">
        <w:rPr>
          <w:sz w:val="22"/>
        </w:rPr>
        <w:t xml:space="preserve"> too swiftly sever the epistemological from the </w:t>
      </w:r>
      <w:r w:rsidR="007F70E9">
        <w:rPr>
          <w:sz w:val="22"/>
        </w:rPr>
        <w:lastRenderedPageBreak/>
        <w:t>ontological</w:t>
      </w:r>
      <w:r w:rsidR="00A72FB0">
        <w:rPr>
          <w:sz w:val="22"/>
        </w:rPr>
        <w:t xml:space="preserve"> which in turn </w:t>
      </w:r>
      <w:r w:rsidR="00420DF2">
        <w:rPr>
          <w:sz w:val="22"/>
        </w:rPr>
        <w:t>help</w:t>
      </w:r>
      <w:r w:rsidR="00A72FB0">
        <w:rPr>
          <w:sz w:val="22"/>
        </w:rPr>
        <w:t>s</w:t>
      </w:r>
      <w:r w:rsidR="00420DF2">
        <w:rPr>
          <w:sz w:val="22"/>
        </w:rPr>
        <w:t xml:space="preserve"> </w:t>
      </w:r>
      <w:r>
        <w:rPr>
          <w:sz w:val="22"/>
        </w:rPr>
        <w:t>to keep thinking from being emptied into</w:t>
      </w:r>
      <w:r w:rsidR="007761E8">
        <w:rPr>
          <w:sz w:val="22"/>
        </w:rPr>
        <w:t xml:space="preserve"> the kind of</w:t>
      </w:r>
      <w:r>
        <w:rPr>
          <w:sz w:val="22"/>
        </w:rPr>
        <w:t xml:space="preserve"> formal</w:t>
      </w:r>
      <w:r w:rsidR="007761E8">
        <w:rPr>
          <w:sz w:val="22"/>
        </w:rPr>
        <w:t xml:space="preserve"> abstraction </w:t>
      </w:r>
      <w:r w:rsidR="008A5135">
        <w:rPr>
          <w:sz w:val="22"/>
        </w:rPr>
        <w:t xml:space="preserve">suggested by </w:t>
      </w:r>
      <w:r w:rsidR="005F2A32">
        <w:rPr>
          <w:sz w:val="22"/>
        </w:rPr>
        <w:t xml:space="preserve">terms </w:t>
      </w:r>
      <w:r w:rsidR="008A5135">
        <w:rPr>
          <w:sz w:val="22"/>
        </w:rPr>
        <w:t>like</w:t>
      </w:r>
      <w:r w:rsidR="007761E8">
        <w:rPr>
          <w:sz w:val="22"/>
        </w:rPr>
        <w:t xml:space="preserve"> generic skills</w:t>
      </w:r>
      <w:r w:rsidR="005F2A32">
        <w:rPr>
          <w:sz w:val="22"/>
        </w:rPr>
        <w:t xml:space="preserve"> which suggest </w:t>
      </w:r>
      <w:r w:rsidR="00ED2014">
        <w:rPr>
          <w:sz w:val="22"/>
        </w:rPr>
        <w:t xml:space="preserve">that </w:t>
      </w:r>
      <w:r w:rsidR="008A5135">
        <w:rPr>
          <w:sz w:val="22"/>
        </w:rPr>
        <w:t xml:space="preserve">mastery </w:t>
      </w:r>
      <w:r w:rsidR="005F2A32">
        <w:rPr>
          <w:sz w:val="22"/>
        </w:rPr>
        <w:t xml:space="preserve">and capacity </w:t>
      </w:r>
      <w:r>
        <w:rPr>
          <w:sz w:val="22"/>
        </w:rPr>
        <w:t>is possible</w:t>
      </w:r>
      <w:r w:rsidR="007761E8">
        <w:rPr>
          <w:sz w:val="22"/>
        </w:rPr>
        <w:t xml:space="preserve"> without the </w:t>
      </w:r>
      <w:bookmarkStart w:id="0" w:name="_GoBack"/>
      <w:bookmarkEnd w:id="0"/>
      <w:r w:rsidR="007761E8">
        <w:rPr>
          <w:sz w:val="22"/>
        </w:rPr>
        <w:t xml:space="preserve">intimacy </w:t>
      </w:r>
      <w:r w:rsidR="00420DF2">
        <w:rPr>
          <w:sz w:val="22"/>
        </w:rPr>
        <w:t xml:space="preserve">ordinarily entailed in </w:t>
      </w:r>
      <w:r w:rsidR="007761E8">
        <w:rPr>
          <w:sz w:val="22"/>
        </w:rPr>
        <w:t xml:space="preserve">the development of knowledge of </w:t>
      </w:r>
      <w:r w:rsidR="00420DF2">
        <w:rPr>
          <w:sz w:val="22"/>
        </w:rPr>
        <w:t xml:space="preserve">and in </w:t>
      </w:r>
      <w:r w:rsidR="007761E8">
        <w:rPr>
          <w:sz w:val="22"/>
        </w:rPr>
        <w:t xml:space="preserve">a subject </w:t>
      </w:r>
      <w:r>
        <w:rPr>
          <w:sz w:val="22"/>
        </w:rPr>
        <w:t>matter</w:t>
      </w:r>
      <w:r w:rsidR="00ED692A">
        <w:rPr>
          <w:sz w:val="22"/>
        </w:rPr>
        <w:t xml:space="preserve"> in a concrete situation.</w:t>
      </w:r>
      <w:r w:rsidR="003A4C9D">
        <w:rPr>
          <w:sz w:val="22"/>
        </w:rPr>
        <w:t xml:space="preserve"> This is why this matters for education.</w:t>
      </w:r>
    </w:p>
    <w:p w14:paraId="023EE77C" w14:textId="77777777" w:rsidR="00AF12BC" w:rsidRDefault="00AF12BC" w:rsidP="00F228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rPr>
      </w:pPr>
    </w:p>
    <w:p w14:paraId="17D63B18" w14:textId="3DEA1A48" w:rsidR="00065CD2" w:rsidRDefault="00065CD2" w:rsidP="00F22861">
      <w:pPr>
        <w:jc w:val="both"/>
        <w:rPr>
          <w:sz w:val="22"/>
        </w:rPr>
      </w:pPr>
      <w:r>
        <w:rPr>
          <w:sz w:val="22"/>
        </w:rPr>
        <w:t xml:space="preserve">These new curious figures of student, researcher and worker </w:t>
      </w:r>
      <w:r w:rsidR="00ED692A">
        <w:rPr>
          <w:sz w:val="22"/>
        </w:rPr>
        <w:t>intimated here</w:t>
      </w:r>
      <w:r>
        <w:rPr>
          <w:sz w:val="22"/>
        </w:rPr>
        <w:t xml:space="preserve"> are reminiscent of</w:t>
      </w:r>
      <w:r w:rsidRPr="00CE0087">
        <w:rPr>
          <w:sz w:val="22"/>
        </w:rPr>
        <w:t xml:space="preserve"> a story</w:t>
      </w:r>
      <w:r>
        <w:rPr>
          <w:sz w:val="22"/>
        </w:rPr>
        <w:t xml:space="preserve"> </w:t>
      </w:r>
      <w:r w:rsidRPr="00CE0087">
        <w:rPr>
          <w:sz w:val="22"/>
        </w:rPr>
        <w:t xml:space="preserve">called </w:t>
      </w:r>
      <w:r w:rsidR="00B35BB8">
        <w:rPr>
          <w:sz w:val="22"/>
        </w:rPr>
        <w:t>“</w:t>
      </w:r>
      <w:r w:rsidRPr="009E6B84">
        <w:rPr>
          <w:sz w:val="22"/>
        </w:rPr>
        <w:t>The Great Swimmer</w:t>
      </w:r>
      <w:r w:rsidR="00B35BB8">
        <w:rPr>
          <w:sz w:val="22"/>
        </w:rPr>
        <w:t>”</w:t>
      </w:r>
      <w:r w:rsidRPr="009E6B84">
        <w:rPr>
          <w:sz w:val="22"/>
        </w:rPr>
        <w:t xml:space="preserve"> </w:t>
      </w:r>
      <w:r w:rsidRPr="00CE0087">
        <w:rPr>
          <w:sz w:val="22"/>
        </w:rPr>
        <w:t>from Kafka’s unpublished notebooks</w:t>
      </w:r>
      <w:r w:rsidR="00B0291D">
        <w:rPr>
          <w:rStyle w:val="Fodnotehenvisning"/>
          <w:sz w:val="22"/>
        </w:rPr>
        <w:footnoteReference w:id="5"/>
      </w:r>
      <w:r w:rsidR="00B0291D">
        <w:rPr>
          <w:sz w:val="22"/>
        </w:rPr>
        <w:t xml:space="preserve">. </w:t>
      </w:r>
      <w:r>
        <w:rPr>
          <w:sz w:val="22"/>
        </w:rPr>
        <w:t xml:space="preserve">He writes, </w:t>
      </w:r>
    </w:p>
    <w:p w14:paraId="609D511E" w14:textId="77777777" w:rsidR="00065CD2" w:rsidRDefault="00065CD2" w:rsidP="00F22861">
      <w:pPr>
        <w:jc w:val="both"/>
        <w:rPr>
          <w:sz w:val="22"/>
        </w:rPr>
      </w:pPr>
    </w:p>
    <w:p w14:paraId="419AF85F" w14:textId="46B77810" w:rsidR="00065CD2" w:rsidRDefault="00065CD2" w:rsidP="00F22861">
      <w:pPr>
        <w:ind w:left="567" w:right="567"/>
        <w:jc w:val="both"/>
        <w:rPr>
          <w:sz w:val="20"/>
          <w:szCs w:val="20"/>
        </w:rPr>
      </w:pPr>
      <w:r w:rsidRPr="00F22861">
        <w:rPr>
          <w:sz w:val="20"/>
          <w:szCs w:val="20"/>
        </w:rPr>
        <w:t xml:space="preserve">Hail the great swimmer! Hail the great swimmer!" the people shouted. I was coming from the Olympic Games in Antwerp, where I had just set a world record in swimming. I stood at the top of the steps outside the train station in my Hometown - where was it? - </w:t>
      </w:r>
      <w:proofErr w:type="gramStart"/>
      <w:r w:rsidRPr="00F22861">
        <w:rPr>
          <w:sz w:val="20"/>
          <w:szCs w:val="20"/>
        </w:rPr>
        <w:t>and</w:t>
      </w:r>
      <w:proofErr w:type="gramEnd"/>
      <w:r w:rsidRPr="00F22861">
        <w:rPr>
          <w:sz w:val="20"/>
          <w:szCs w:val="20"/>
        </w:rPr>
        <w:t xml:space="preserve"> looked down at the indiscernible throng in the dusk [..] </w:t>
      </w:r>
      <w:proofErr w:type="gramStart"/>
      <w:r w:rsidRPr="00F22861">
        <w:rPr>
          <w:sz w:val="20"/>
          <w:szCs w:val="20"/>
        </w:rPr>
        <w:t>"</w:t>
      </w:r>
      <w:proofErr w:type="spellStart"/>
      <w:r w:rsidRPr="00F22861">
        <w:rPr>
          <w:sz w:val="20"/>
          <w:szCs w:val="20"/>
        </w:rPr>
        <w:t>Honored</w:t>
      </w:r>
      <w:proofErr w:type="spellEnd"/>
      <w:r w:rsidRPr="00F22861">
        <w:rPr>
          <w:sz w:val="20"/>
          <w:szCs w:val="20"/>
        </w:rPr>
        <w:t xml:space="preserve"> guests!</w:t>
      </w:r>
      <w:proofErr w:type="gramEnd"/>
      <w:r w:rsidRPr="00F22861">
        <w:rPr>
          <w:sz w:val="20"/>
          <w:szCs w:val="20"/>
        </w:rPr>
        <w:t xml:space="preserve"> I have, admittedly, broken a world record. If, however, you were to ask me how I have achieved this, I could not answer adequately. Actually, I cannot even swim. I have always wanted to learn, but have never had the opportunity. How then did it come to be that I was sent by my country to the Olympic Games? This is, of course, also</w:t>
      </w:r>
      <w:r w:rsidR="00ED692A">
        <w:rPr>
          <w:sz w:val="20"/>
          <w:szCs w:val="20"/>
        </w:rPr>
        <w:t xml:space="preserve"> the question I ask of </w:t>
      </w:r>
      <w:proofErr w:type="gramStart"/>
      <w:r w:rsidR="00ED692A">
        <w:rPr>
          <w:sz w:val="20"/>
          <w:szCs w:val="20"/>
        </w:rPr>
        <w:t>myself</w:t>
      </w:r>
      <w:proofErr w:type="gramEnd"/>
      <w:r w:rsidR="00B0291D">
        <w:rPr>
          <w:sz w:val="20"/>
          <w:szCs w:val="20"/>
        </w:rPr>
        <w:t>.</w:t>
      </w:r>
      <w:r w:rsidR="00B0291D">
        <w:rPr>
          <w:rStyle w:val="Fodnotehenvisning"/>
          <w:sz w:val="20"/>
          <w:szCs w:val="20"/>
        </w:rPr>
        <w:footnoteReference w:id="6"/>
      </w:r>
      <w:r w:rsidRPr="00F22861">
        <w:rPr>
          <w:sz w:val="20"/>
          <w:szCs w:val="20"/>
        </w:rPr>
        <w:t xml:space="preserve"> </w:t>
      </w:r>
    </w:p>
    <w:p w14:paraId="6AC69DB6" w14:textId="77777777" w:rsidR="00065CD2" w:rsidRPr="00F22861" w:rsidRDefault="00065CD2" w:rsidP="00F22861">
      <w:pPr>
        <w:ind w:left="567" w:right="567"/>
        <w:jc w:val="both"/>
        <w:rPr>
          <w:sz w:val="20"/>
          <w:szCs w:val="20"/>
        </w:rPr>
      </w:pPr>
    </w:p>
    <w:p w14:paraId="459A5735" w14:textId="67951E1E" w:rsidR="00127630" w:rsidRDefault="00065CD2" w:rsidP="00F22861">
      <w:pPr>
        <w:jc w:val="both"/>
        <w:rPr>
          <w:sz w:val="22"/>
          <w:szCs w:val="22"/>
          <w:lang w:val="en-US"/>
        </w:rPr>
      </w:pPr>
      <w:r>
        <w:rPr>
          <w:sz w:val="22"/>
          <w:lang w:bidi="en-US"/>
        </w:rPr>
        <w:t xml:space="preserve">At first glance the story seems </w:t>
      </w:r>
      <w:proofErr w:type="gramStart"/>
      <w:r>
        <w:rPr>
          <w:sz w:val="22"/>
          <w:lang w:bidi="en-US"/>
        </w:rPr>
        <w:t>absurd,</w:t>
      </w:r>
      <w:proofErr w:type="gramEnd"/>
      <w:r>
        <w:rPr>
          <w:sz w:val="22"/>
          <w:lang w:bidi="en-US"/>
        </w:rPr>
        <w:t xml:space="preserve"> however, it is not so far removed from contemporary images of</w:t>
      </w:r>
      <w:r w:rsidR="003A4C9D">
        <w:rPr>
          <w:sz w:val="22"/>
          <w:lang w:bidi="en-US"/>
        </w:rPr>
        <w:t xml:space="preserve"> work, research and study today. </w:t>
      </w:r>
      <w:r w:rsidR="00127630">
        <w:rPr>
          <w:sz w:val="22"/>
          <w:szCs w:val="22"/>
        </w:rPr>
        <w:t xml:space="preserve">Tim </w:t>
      </w:r>
      <w:proofErr w:type="spellStart"/>
      <w:r w:rsidR="00127630">
        <w:rPr>
          <w:sz w:val="22"/>
          <w:szCs w:val="22"/>
        </w:rPr>
        <w:t>Ingold</w:t>
      </w:r>
      <w:proofErr w:type="spellEnd"/>
      <w:r w:rsidR="00B0291D">
        <w:rPr>
          <w:rStyle w:val="Fodnotehenvisning"/>
          <w:sz w:val="22"/>
          <w:szCs w:val="22"/>
        </w:rPr>
        <w:footnoteReference w:id="7"/>
      </w:r>
      <w:r w:rsidR="003A4C9D">
        <w:rPr>
          <w:sz w:val="22"/>
          <w:szCs w:val="22"/>
        </w:rPr>
        <w:t xml:space="preserve"> states </w:t>
      </w:r>
      <w:r w:rsidR="00127630">
        <w:rPr>
          <w:sz w:val="22"/>
          <w:szCs w:val="22"/>
        </w:rPr>
        <w:t xml:space="preserve">that </w:t>
      </w:r>
      <w:r w:rsidR="00B35BB8">
        <w:rPr>
          <w:sz w:val="22"/>
          <w:szCs w:val="22"/>
        </w:rPr>
        <w:t>“</w:t>
      </w:r>
      <w:r w:rsidR="00127630" w:rsidRPr="00127630">
        <w:rPr>
          <w:sz w:val="22"/>
          <w:szCs w:val="22"/>
          <w:lang w:val="en-US"/>
        </w:rPr>
        <w:t>A skill like playing the cello, being a property of the organism established through practical experience in an environment, is every bit as ‘bio</w:t>
      </w:r>
      <w:r w:rsidR="00127630">
        <w:rPr>
          <w:sz w:val="22"/>
          <w:szCs w:val="22"/>
          <w:lang w:val="en-US"/>
        </w:rPr>
        <w:t>l</w:t>
      </w:r>
      <w:r w:rsidR="00B0291D">
        <w:rPr>
          <w:sz w:val="22"/>
          <w:szCs w:val="22"/>
          <w:lang w:val="en-US"/>
        </w:rPr>
        <w:t>ogical’ as walking on two feet</w:t>
      </w:r>
      <w:r w:rsidR="00B35BB8">
        <w:rPr>
          <w:sz w:val="22"/>
          <w:szCs w:val="22"/>
          <w:lang w:val="en-US"/>
        </w:rPr>
        <w:t>”</w:t>
      </w:r>
      <w:r w:rsidR="00B0291D">
        <w:rPr>
          <w:rStyle w:val="Fodnotehenvisning"/>
          <w:sz w:val="22"/>
          <w:szCs w:val="22"/>
          <w:lang w:val="en-US"/>
        </w:rPr>
        <w:footnoteReference w:id="8"/>
      </w:r>
      <w:r w:rsidR="003A4C9D">
        <w:rPr>
          <w:sz w:val="22"/>
          <w:szCs w:val="22"/>
          <w:lang w:val="en-US"/>
        </w:rPr>
        <w:t xml:space="preserve">. It is, however, the importance of practical experience that is </w:t>
      </w:r>
      <w:proofErr w:type="gramStart"/>
      <w:r w:rsidR="003A4C9D">
        <w:rPr>
          <w:sz w:val="22"/>
          <w:szCs w:val="22"/>
          <w:lang w:val="en-US"/>
        </w:rPr>
        <w:t>key</w:t>
      </w:r>
      <w:proofErr w:type="gramEnd"/>
      <w:r w:rsidR="003A4C9D">
        <w:rPr>
          <w:sz w:val="22"/>
          <w:szCs w:val="22"/>
          <w:lang w:val="en-US"/>
        </w:rPr>
        <w:t xml:space="preserve"> here. Even if skills become transferable, in some sense, they begin in practice. </w:t>
      </w:r>
    </w:p>
    <w:p w14:paraId="5B36D062" w14:textId="77777777" w:rsidR="005F2A32" w:rsidRPr="00127630" w:rsidRDefault="005F2A32" w:rsidP="00F22861">
      <w:pPr>
        <w:jc w:val="both"/>
        <w:rPr>
          <w:sz w:val="22"/>
          <w:szCs w:val="22"/>
          <w:lang w:val="en-US"/>
        </w:rPr>
      </w:pPr>
    </w:p>
    <w:p w14:paraId="074ACF3E" w14:textId="758C56B5" w:rsidR="00E25B16" w:rsidRPr="00F22861" w:rsidRDefault="003A4C9D" w:rsidP="00F22861">
      <w:pPr>
        <w:jc w:val="both"/>
        <w:rPr>
          <w:sz w:val="22"/>
          <w:lang w:val="en-US" w:bidi="en-US"/>
        </w:rPr>
      </w:pPr>
      <w:r>
        <w:rPr>
          <w:sz w:val="22"/>
          <w:szCs w:val="22"/>
        </w:rPr>
        <w:t>The language of</w:t>
      </w:r>
      <w:r w:rsidR="005126D8" w:rsidRPr="00065CD2">
        <w:rPr>
          <w:sz w:val="22"/>
          <w:szCs w:val="22"/>
        </w:rPr>
        <w:t xml:space="preserve"> generic skills when uncoupled from material practices </w:t>
      </w:r>
      <w:r w:rsidR="00ED692A">
        <w:rPr>
          <w:sz w:val="22"/>
          <w:szCs w:val="22"/>
        </w:rPr>
        <w:t>risk evacuating</w:t>
      </w:r>
      <w:r w:rsidR="005126D8" w:rsidRPr="00065CD2">
        <w:rPr>
          <w:sz w:val="22"/>
          <w:szCs w:val="22"/>
        </w:rPr>
        <w:t xml:space="preserve"> thinking of its substance and subject</w:t>
      </w:r>
      <w:r w:rsidR="00ED692A">
        <w:rPr>
          <w:sz w:val="22"/>
          <w:szCs w:val="22"/>
        </w:rPr>
        <w:t>, focusing on the isolated individual, as though skills can be evaluated in abstraction from their exercise</w:t>
      </w:r>
      <w:r w:rsidR="00A7768B">
        <w:rPr>
          <w:sz w:val="22"/>
          <w:szCs w:val="22"/>
        </w:rPr>
        <w:t xml:space="preserve">. </w:t>
      </w:r>
      <w:r w:rsidR="00ED692A">
        <w:rPr>
          <w:sz w:val="22"/>
          <w:szCs w:val="22"/>
        </w:rPr>
        <w:t xml:space="preserve">Conceptualising skills as a form </w:t>
      </w:r>
      <w:r w:rsidR="00B561C5" w:rsidRPr="00065CD2">
        <w:rPr>
          <w:sz w:val="22"/>
          <w:szCs w:val="22"/>
        </w:rPr>
        <w:t>of material thinking</w:t>
      </w:r>
      <w:r w:rsidR="00A7768B">
        <w:rPr>
          <w:sz w:val="22"/>
          <w:szCs w:val="22"/>
        </w:rPr>
        <w:t xml:space="preserve"> </w:t>
      </w:r>
      <w:r w:rsidR="00BA0327">
        <w:rPr>
          <w:sz w:val="22"/>
          <w:szCs w:val="22"/>
        </w:rPr>
        <w:t xml:space="preserve">underlines </w:t>
      </w:r>
      <w:proofErr w:type="gramStart"/>
      <w:r w:rsidR="00BA0327">
        <w:rPr>
          <w:sz w:val="22"/>
          <w:szCs w:val="22"/>
        </w:rPr>
        <w:t>that skills</w:t>
      </w:r>
      <w:proofErr w:type="gramEnd"/>
      <w:r w:rsidR="00BA0327">
        <w:rPr>
          <w:sz w:val="22"/>
          <w:szCs w:val="22"/>
        </w:rPr>
        <w:t xml:space="preserve"> </w:t>
      </w:r>
      <w:r w:rsidR="00A7768B">
        <w:rPr>
          <w:sz w:val="22"/>
          <w:szCs w:val="22"/>
        </w:rPr>
        <w:t xml:space="preserve">involves thinking </w:t>
      </w:r>
      <w:r w:rsidR="00A7768B">
        <w:rPr>
          <w:i/>
          <w:sz w:val="22"/>
          <w:szCs w:val="22"/>
        </w:rPr>
        <w:t>with</w:t>
      </w:r>
      <w:r w:rsidR="00A7768B">
        <w:rPr>
          <w:sz w:val="22"/>
          <w:szCs w:val="22"/>
        </w:rPr>
        <w:t xml:space="preserve"> something.</w:t>
      </w:r>
      <w:r w:rsidR="00B561C5" w:rsidRPr="00065CD2">
        <w:rPr>
          <w:sz w:val="22"/>
          <w:szCs w:val="22"/>
        </w:rPr>
        <w:t xml:space="preserve"> </w:t>
      </w:r>
      <w:r w:rsidR="0018652B" w:rsidRPr="003B314C">
        <w:rPr>
          <w:sz w:val="22"/>
          <w:szCs w:val="22"/>
        </w:rPr>
        <w:t xml:space="preserve">I </w:t>
      </w:r>
      <w:r w:rsidR="00E1635F" w:rsidRPr="003B314C">
        <w:rPr>
          <w:sz w:val="22"/>
          <w:szCs w:val="22"/>
        </w:rPr>
        <w:t>take up this</w:t>
      </w:r>
      <w:r w:rsidR="008A3F96" w:rsidRPr="003B314C">
        <w:rPr>
          <w:sz w:val="22"/>
          <w:szCs w:val="22"/>
        </w:rPr>
        <w:t xml:space="preserve"> specific issue </w:t>
      </w:r>
      <w:r w:rsidR="00BA0327">
        <w:rPr>
          <w:sz w:val="22"/>
          <w:szCs w:val="22"/>
        </w:rPr>
        <w:t xml:space="preserve">to ask whether this discourse is </w:t>
      </w:r>
      <w:r w:rsidR="008A3F96" w:rsidRPr="003B314C">
        <w:rPr>
          <w:sz w:val="22"/>
          <w:szCs w:val="22"/>
        </w:rPr>
        <w:t xml:space="preserve">symptomatic of a </w:t>
      </w:r>
      <w:r w:rsidR="00BA0327">
        <w:rPr>
          <w:sz w:val="22"/>
          <w:szCs w:val="22"/>
        </w:rPr>
        <w:t xml:space="preserve">wider </w:t>
      </w:r>
      <w:r w:rsidR="008A3F96" w:rsidRPr="003B314C">
        <w:rPr>
          <w:sz w:val="22"/>
          <w:szCs w:val="22"/>
        </w:rPr>
        <w:t>‘dematerialising’ turn across a range of sphere</w:t>
      </w:r>
      <w:r w:rsidR="0081117C" w:rsidRPr="00217CFC">
        <w:rPr>
          <w:sz w:val="22"/>
          <w:szCs w:val="22"/>
        </w:rPr>
        <w:t>s</w:t>
      </w:r>
      <w:r w:rsidR="008A3F96" w:rsidRPr="00217CFC">
        <w:rPr>
          <w:sz w:val="22"/>
          <w:szCs w:val="22"/>
        </w:rPr>
        <w:t xml:space="preserve"> of life and knowledge</w:t>
      </w:r>
      <w:r w:rsidR="00A7768B">
        <w:rPr>
          <w:sz w:val="22"/>
          <w:szCs w:val="22"/>
        </w:rPr>
        <w:t xml:space="preserve">. </w:t>
      </w:r>
      <w:r w:rsidR="001E1BC2">
        <w:rPr>
          <w:sz w:val="22"/>
          <w:szCs w:val="22"/>
        </w:rPr>
        <w:t>A</w:t>
      </w:r>
      <w:r w:rsidR="0018652B" w:rsidRPr="00052620">
        <w:rPr>
          <w:sz w:val="22"/>
          <w:szCs w:val="22"/>
        </w:rPr>
        <w:t xml:space="preserve"> pluralistic approach </w:t>
      </w:r>
      <w:r w:rsidR="00A7768B">
        <w:rPr>
          <w:sz w:val="22"/>
          <w:szCs w:val="22"/>
        </w:rPr>
        <w:t>that considers the practice and experience of thinking</w:t>
      </w:r>
      <w:r w:rsidR="00BA0327">
        <w:rPr>
          <w:sz w:val="22"/>
          <w:szCs w:val="22"/>
        </w:rPr>
        <w:t>,</w:t>
      </w:r>
      <w:r w:rsidR="00A7768B">
        <w:rPr>
          <w:sz w:val="22"/>
          <w:szCs w:val="22"/>
        </w:rPr>
        <w:t xml:space="preserve"> as well as knowledge</w:t>
      </w:r>
      <w:r w:rsidR="00BA0327">
        <w:rPr>
          <w:sz w:val="22"/>
          <w:szCs w:val="22"/>
        </w:rPr>
        <w:t>,</w:t>
      </w:r>
      <w:r w:rsidR="00A7768B">
        <w:rPr>
          <w:sz w:val="22"/>
          <w:szCs w:val="22"/>
        </w:rPr>
        <w:t xml:space="preserve"> </w:t>
      </w:r>
      <w:r w:rsidR="00BA0327">
        <w:rPr>
          <w:sz w:val="22"/>
          <w:szCs w:val="22"/>
        </w:rPr>
        <w:t>will not be satisfied by</w:t>
      </w:r>
      <w:r w:rsidR="0018652B" w:rsidRPr="00052620">
        <w:rPr>
          <w:sz w:val="22"/>
          <w:szCs w:val="22"/>
        </w:rPr>
        <w:t xml:space="preserve"> </w:t>
      </w:r>
      <w:r w:rsidR="00A7768B">
        <w:rPr>
          <w:sz w:val="22"/>
          <w:szCs w:val="22"/>
        </w:rPr>
        <w:t>a call</w:t>
      </w:r>
      <w:r w:rsidR="00A7768B" w:rsidRPr="00052620">
        <w:rPr>
          <w:sz w:val="22"/>
          <w:szCs w:val="22"/>
        </w:rPr>
        <w:t xml:space="preserve"> </w:t>
      </w:r>
      <w:r w:rsidR="0018652B" w:rsidRPr="00052620">
        <w:rPr>
          <w:sz w:val="22"/>
          <w:szCs w:val="22"/>
        </w:rPr>
        <w:t xml:space="preserve">for </w:t>
      </w:r>
      <w:r w:rsidR="003F02BC" w:rsidRPr="00127630">
        <w:rPr>
          <w:sz w:val="22"/>
          <w:szCs w:val="22"/>
        </w:rPr>
        <w:t>diverse</w:t>
      </w:r>
      <w:r w:rsidR="0018652B" w:rsidRPr="00127630">
        <w:rPr>
          <w:sz w:val="22"/>
          <w:szCs w:val="22"/>
        </w:rPr>
        <w:t xml:space="preserve"> epistemologies</w:t>
      </w:r>
      <w:r w:rsidR="00BA0327">
        <w:rPr>
          <w:sz w:val="22"/>
          <w:szCs w:val="22"/>
        </w:rPr>
        <w:t>.</w:t>
      </w:r>
      <w:r w:rsidR="0018652B" w:rsidRPr="00127630">
        <w:rPr>
          <w:sz w:val="22"/>
          <w:szCs w:val="22"/>
        </w:rPr>
        <w:t xml:space="preserve"> </w:t>
      </w:r>
      <w:r w:rsidR="001E1BC2">
        <w:rPr>
          <w:sz w:val="22"/>
          <w:szCs w:val="22"/>
        </w:rPr>
        <w:t>What</w:t>
      </w:r>
      <w:r w:rsidR="00BA0327">
        <w:rPr>
          <w:sz w:val="22"/>
          <w:szCs w:val="22"/>
        </w:rPr>
        <w:t xml:space="preserve"> matters is to ensure that skills talk in education is embedded in the</w:t>
      </w:r>
      <w:r w:rsidR="0018652B" w:rsidRPr="00127630">
        <w:rPr>
          <w:sz w:val="22"/>
          <w:szCs w:val="22"/>
        </w:rPr>
        <w:t xml:space="preserve"> material practices of thinking be it in the sciences, social sciences or humanities. </w:t>
      </w:r>
      <w:r w:rsidR="003550D8" w:rsidRPr="00127630">
        <w:rPr>
          <w:rFonts w:cs="TimesNewRomanPSMT"/>
          <w:sz w:val="22"/>
          <w:szCs w:val="22"/>
          <w:lang w:val="en-US" w:bidi="en-US"/>
        </w:rPr>
        <w:t>With</w:t>
      </w:r>
      <w:r w:rsidR="00044624" w:rsidRPr="00127630">
        <w:rPr>
          <w:rFonts w:cs="TimesNewRomanPSMT"/>
          <w:sz w:val="22"/>
          <w:szCs w:val="22"/>
          <w:lang w:val="en-US" w:bidi="en-US"/>
        </w:rPr>
        <w:t xml:space="preserve"> </w:t>
      </w:r>
      <w:r w:rsidR="003550D8" w:rsidRPr="00127630">
        <w:rPr>
          <w:rFonts w:cs="TimesNewRomanPSMT"/>
          <w:sz w:val="22"/>
          <w:szCs w:val="22"/>
          <w:lang w:val="en-US" w:bidi="en-US"/>
        </w:rPr>
        <w:t>William Connolly</w:t>
      </w:r>
      <w:r w:rsidR="0025742D">
        <w:rPr>
          <w:rStyle w:val="Fodnotehenvisning"/>
          <w:rFonts w:cs="TimesNewRomanPSMT"/>
          <w:sz w:val="22"/>
          <w:szCs w:val="22"/>
          <w:lang w:val="en-US" w:bidi="en-US"/>
        </w:rPr>
        <w:footnoteReference w:id="9"/>
      </w:r>
      <w:r w:rsidR="0025742D">
        <w:rPr>
          <w:rFonts w:cs="TimesNewRomanPSMT"/>
          <w:sz w:val="22"/>
          <w:szCs w:val="22"/>
          <w:lang w:val="en-US" w:bidi="en-US"/>
        </w:rPr>
        <w:t xml:space="preserve"> </w:t>
      </w:r>
      <w:r w:rsidR="003550D8" w:rsidRPr="00127630">
        <w:rPr>
          <w:rFonts w:cs="TimesNewRomanPSMT"/>
          <w:sz w:val="22"/>
          <w:szCs w:val="22"/>
          <w:lang w:val="en-US" w:bidi="en-US"/>
        </w:rPr>
        <w:t>and Jane Bennett</w:t>
      </w:r>
      <w:r w:rsidR="00ED429E">
        <w:rPr>
          <w:rStyle w:val="Fodnotehenvisning"/>
          <w:rFonts w:cs="TimesNewRomanPSMT"/>
          <w:sz w:val="22"/>
          <w:szCs w:val="22"/>
          <w:lang w:val="en-US" w:bidi="en-US"/>
        </w:rPr>
        <w:footnoteReference w:id="10"/>
      </w:r>
      <w:r w:rsidR="00ED429E">
        <w:rPr>
          <w:rFonts w:cs="TimesNewRomanPSMT"/>
          <w:sz w:val="22"/>
          <w:szCs w:val="22"/>
          <w:lang w:val="en-US" w:bidi="en-US"/>
        </w:rPr>
        <w:t xml:space="preserve">, </w:t>
      </w:r>
      <w:r w:rsidR="003550D8" w:rsidRPr="00127630">
        <w:rPr>
          <w:rFonts w:cs="TimesNewRomanPSMT"/>
          <w:sz w:val="22"/>
          <w:szCs w:val="22"/>
          <w:lang w:val="en-US" w:bidi="en-US"/>
        </w:rPr>
        <w:t>I am interested in</w:t>
      </w:r>
      <w:r w:rsidR="009D5460" w:rsidRPr="00127630">
        <w:rPr>
          <w:rFonts w:cs="TimesNewRomanPSMT"/>
          <w:sz w:val="22"/>
          <w:szCs w:val="22"/>
          <w:lang w:val="en-US" w:bidi="en-US"/>
        </w:rPr>
        <w:t xml:space="preserve"> a more delicate, irreverent ethics of responsiveness to </w:t>
      </w:r>
      <w:r w:rsidR="00DA1735" w:rsidRPr="00127630">
        <w:rPr>
          <w:rFonts w:cs="TimesNewRomanPSMT"/>
          <w:sz w:val="22"/>
          <w:szCs w:val="22"/>
          <w:lang w:val="en-US" w:bidi="en-US"/>
        </w:rPr>
        <w:t xml:space="preserve">organic and inorganic </w:t>
      </w:r>
      <w:r w:rsidR="009D5460" w:rsidRPr="008E4FBA">
        <w:rPr>
          <w:rFonts w:cs="TimesNewRomanPSMT"/>
          <w:sz w:val="22"/>
          <w:szCs w:val="22"/>
          <w:lang w:val="en-US" w:bidi="en-US"/>
        </w:rPr>
        <w:t>matter,</w:t>
      </w:r>
      <w:r w:rsidR="003550D8" w:rsidRPr="008E4FBA">
        <w:rPr>
          <w:rFonts w:cs="TimesNewRomanPSMT"/>
          <w:sz w:val="22"/>
          <w:szCs w:val="22"/>
          <w:lang w:val="en-US" w:bidi="en-US"/>
        </w:rPr>
        <w:t xml:space="preserve"> playful experimentation </w:t>
      </w:r>
      <w:r w:rsidR="0018652B" w:rsidRPr="008E4FBA">
        <w:rPr>
          <w:rFonts w:cs="TimesNewRomanPSMT"/>
          <w:sz w:val="22"/>
          <w:szCs w:val="22"/>
          <w:lang w:val="en-US" w:bidi="en-US"/>
        </w:rPr>
        <w:t xml:space="preserve">with </w:t>
      </w:r>
      <w:r w:rsidR="003550D8" w:rsidRPr="006E0D1D">
        <w:rPr>
          <w:rFonts w:cs="TimesNewRomanPSMT"/>
          <w:sz w:val="22"/>
          <w:szCs w:val="22"/>
          <w:lang w:val="en-US" w:bidi="en-US"/>
        </w:rPr>
        <w:t xml:space="preserve">and exploration of matter, </w:t>
      </w:r>
      <w:r w:rsidR="009D5460" w:rsidRPr="009248DD">
        <w:rPr>
          <w:rFonts w:cs="TimesNewRomanPSMT"/>
          <w:sz w:val="22"/>
          <w:szCs w:val="22"/>
          <w:lang w:val="en-US" w:bidi="en-US"/>
        </w:rPr>
        <w:t>an</w:t>
      </w:r>
      <w:r w:rsidR="00DA1735" w:rsidRPr="009248DD">
        <w:rPr>
          <w:rFonts w:cs="TimesNewRomanPSMT"/>
          <w:sz w:val="22"/>
          <w:szCs w:val="22"/>
          <w:lang w:val="en-US" w:bidi="en-US"/>
        </w:rPr>
        <w:t>d</w:t>
      </w:r>
      <w:r w:rsidR="00F211CB" w:rsidRPr="009248DD">
        <w:rPr>
          <w:rFonts w:cs="TimesNewRomanPSMT"/>
          <w:sz w:val="22"/>
          <w:szCs w:val="22"/>
          <w:lang w:val="en-US" w:bidi="en-US"/>
        </w:rPr>
        <w:t xml:space="preserve"> perceptual opening</w:t>
      </w:r>
      <w:r w:rsidR="00147A4C" w:rsidRPr="009248DD">
        <w:rPr>
          <w:rFonts w:cs="TimesNewRomanPSMT"/>
          <w:sz w:val="22"/>
          <w:szCs w:val="22"/>
          <w:lang w:val="en-US" w:bidi="en-US"/>
        </w:rPr>
        <w:t>s</w:t>
      </w:r>
      <w:r w:rsidR="00902155" w:rsidRPr="009248DD">
        <w:rPr>
          <w:rFonts w:cs="TimesNewRomanPSMT"/>
          <w:sz w:val="22"/>
          <w:szCs w:val="22"/>
          <w:lang w:val="en-US" w:bidi="en-US"/>
        </w:rPr>
        <w:t xml:space="preserve"> to</w:t>
      </w:r>
      <w:r w:rsidR="00F211CB" w:rsidRPr="009248DD">
        <w:rPr>
          <w:rFonts w:cs="TimesNewRomanPSMT"/>
          <w:sz w:val="22"/>
          <w:szCs w:val="22"/>
          <w:lang w:val="en-US" w:bidi="en-US"/>
        </w:rPr>
        <w:t xml:space="preserve"> those</w:t>
      </w:r>
      <w:r w:rsidR="003550D8" w:rsidRPr="009248DD">
        <w:rPr>
          <w:rFonts w:cs="TimesNewRomanPSMT"/>
          <w:sz w:val="22"/>
          <w:szCs w:val="22"/>
          <w:lang w:val="en-US" w:bidi="en-US"/>
        </w:rPr>
        <w:t xml:space="preserve"> relational qualities that reveal</w:t>
      </w:r>
      <w:r w:rsidR="00DA1735" w:rsidRPr="00F22861">
        <w:rPr>
          <w:rFonts w:cs="TimesNewRomanPSMT"/>
          <w:sz w:val="22"/>
          <w:szCs w:val="22"/>
          <w:lang w:val="en-US" w:bidi="en-US"/>
        </w:rPr>
        <w:t xml:space="preserve"> the expressive</w:t>
      </w:r>
      <w:r w:rsidR="00DA1735">
        <w:rPr>
          <w:rFonts w:cs="TimesNewRomanPSMT"/>
          <w:sz w:val="22"/>
          <w:lang w:val="en-US" w:bidi="en-US"/>
        </w:rPr>
        <w:t xml:space="preserve"> bodily materiality of existence</w:t>
      </w:r>
      <w:r w:rsidR="00900070">
        <w:rPr>
          <w:rFonts w:cs="TimesNewRomanPSMT"/>
          <w:sz w:val="22"/>
          <w:lang w:val="en-US" w:bidi="en-US"/>
        </w:rPr>
        <w:t xml:space="preserve"> shared by </w:t>
      </w:r>
      <w:r w:rsidR="00F211CB">
        <w:rPr>
          <w:rFonts w:cs="TimesNewRomanPSMT"/>
          <w:sz w:val="22"/>
          <w:lang w:val="en-US" w:bidi="en-US"/>
        </w:rPr>
        <w:t>humans and</w:t>
      </w:r>
      <w:r w:rsidR="003550D8">
        <w:rPr>
          <w:rFonts w:cs="TimesNewRomanPSMT"/>
          <w:sz w:val="22"/>
          <w:lang w:val="en-US" w:bidi="en-US"/>
        </w:rPr>
        <w:t xml:space="preserve"> other</w:t>
      </w:r>
      <w:r w:rsidR="00900070">
        <w:rPr>
          <w:rFonts w:cs="TimesNewRomanPSMT"/>
          <w:sz w:val="22"/>
          <w:lang w:val="en-US" w:bidi="en-US"/>
        </w:rPr>
        <w:t xml:space="preserve"> things</w:t>
      </w:r>
      <w:r w:rsidR="00AB4B20">
        <w:rPr>
          <w:rFonts w:cs="TimesNewRomanPSMT"/>
          <w:sz w:val="22"/>
          <w:lang w:val="en-US" w:bidi="en-US"/>
        </w:rPr>
        <w:t>, existents, and forces</w:t>
      </w:r>
      <w:r w:rsidR="00900070">
        <w:rPr>
          <w:rFonts w:cs="TimesNewRomanPSMT"/>
          <w:sz w:val="22"/>
          <w:lang w:val="en-US" w:bidi="en-US"/>
        </w:rPr>
        <w:t>, sentient and otherwise</w:t>
      </w:r>
      <w:r w:rsidR="00DA1735">
        <w:rPr>
          <w:rFonts w:cs="TimesNewRomanPSMT"/>
          <w:sz w:val="22"/>
          <w:lang w:val="en-US" w:bidi="en-US"/>
        </w:rPr>
        <w:t xml:space="preserve">. </w:t>
      </w:r>
    </w:p>
    <w:p w14:paraId="225032AA" w14:textId="77777777" w:rsidR="00E25B16" w:rsidRDefault="00E25B16" w:rsidP="00F22861">
      <w:pPr>
        <w:jc w:val="both"/>
        <w:rPr>
          <w:sz w:val="22"/>
          <w:lang w:val="en-US" w:bidi="en-US"/>
        </w:rPr>
      </w:pPr>
    </w:p>
    <w:p w14:paraId="7173188E" w14:textId="55AE9245" w:rsidR="006B4693" w:rsidRPr="0062681A" w:rsidRDefault="005F2A32" w:rsidP="0062681A">
      <w:pPr>
        <w:widowControl w:val="0"/>
        <w:autoSpaceDE w:val="0"/>
        <w:autoSpaceDN w:val="0"/>
        <w:adjustRightInd w:val="0"/>
        <w:spacing w:after="240"/>
        <w:jc w:val="both"/>
        <w:rPr>
          <w:rFonts w:ascii="Times" w:hAnsi="Times" w:cs="Times"/>
          <w:sz w:val="22"/>
          <w:szCs w:val="22"/>
          <w:lang w:val="en-US"/>
        </w:rPr>
      </w:pPr>
      <w:r>
        <w:rPr>
          <w:sz w:val="22"/>
        </w:rPr>
        <w:t xml:space="preserve">This is, in certain respects, familiar territory. A good deal of criticism has been levelled at the idea that knowledge can and must be ‘abstract’. Francisco Varela argues that </w:t>
      </w:r>
      <w:r w:rsidR="00B35BB8">
        <w:rPr>
          <w:sz w:val="22"/>
        </w:rPr>
        <w:t>“</w:t>
      </w:r>
      <w:r>
        <w:rPr>
          <w:sz w:val="22"/>
        </w:rPr>
        <w:t xml:space="preserve">proper units of knowledge are primarily </w:t>
      </w:r>
      <w:r>
        <w:rPr>
          <w:i/>
          <w:sz w:val="22"/>
        </w:rPr>
        <w:t>concrete</w:t>
      </w:r>
      <w:r>
        <w:rPr>
          <w:sz w:val="22"/>
        </w:rPr>
        <w:t>, embodied, incorporated, lived</w:t>
      </w:r>
      <w:r w:rsidR="00B35BB8">
        <w:rPr>
          <w:sz w:val="22"/>
        </w:rPr>
        <w:t>”</w:t>
      </w:r>
      <w:r w:rsidR="00ED429E">
        <w:rPr>
          <w:sz w:val="22"/>
        </w:rPr>
        <w:t xml:space="preserve"> as he articulates</w:t>
      </w:r>
      <w:r>
        <w:rPr>
          <w:sz w:val="22"/>
        </w:rPr>
        <w:t xml:space="preserve"> an </w:t>
      </w:r>
      <w:proofErr w:type="spellStart"/>
      <w:r>
        <w:rPr>
          <w:sz w:val="22"/>
        </w:rPr>
        <w:t>enactive</w:t>
      </w:r>
      <w:proofErr w:type="spellEnd"/>
      <w:r>
        <w:rPr>
          <w:sz w:val="22"/>
        </w:rPr>
        <w:t xml:space="preserve"> approach to cognition </w:t>
      </w:r>
      <w:r w:rsidR="00ED429E">
        <w:rPr>
          <w:sz w:val="22"/>
        </w:rPr>
        <w:t>that emerges</w:t>
      </w:r>
      <w:r>
        <w:rPr>
          <w:sz w:val="22"/>
        </w:rPr>
        <w:t xml:space="preserve"> from practical engagement with the world</w:t>
      </w:r>
      <w:r w:rsidR="0025742D">
        <w:rPr>
          <w:rStyle w:val="Fodnotehenvisning"/>
          <w:sz w:val="22"/>
        </w:rPr>
        <w:footnoteReference w:id="11"/>
      </w:r>
      <w:r w:rsidR="0025742D">
        <w:rPr>
          <w:sz w:val="22"/>
        </w:rPr>
        <w:t xml:space="preserve">. </w:t>
      </w:r>
      <w:proofErr w:type="spellStart"/>
      <w:r w:rsidR="00A7768B" w:rsidRPr="00127630">
        <w:rPr>
          <w:sz w:val="22"/>
          <w:szCs w:val="22"/>
        </w:rPr>
        <w:t>Ingold</w:t>
      </w:r>
      <w:proofErr w:type="spellEnd"/>
      <w:r w:rsidR="00A7768B" w:rsidRPr="00127630">
        <w:rPr>
          <w:sz w:val="22"/>
          <w:szCs w:val="22"/>
        </w:rPr>
        <w:t xml:space="preserve"> </w:t>
      </w:r>
      <w:r w:rsidR="00A7768B">
        <w:rPr>
          <w:sz w:val="22"/>
          <w:szCs w:val="22"/>
        </w:rPr>
        <w:t>states</w:t>
      </w:r>
      <w:r w:rsidR="00A7768B" w:rsidRPr="00127630">
        <w:rPr>
          <w:sz w:val="22"/>
          <w:szCs w:val="22"/>
        </w:rPr>
        <w:t xml:space="preserve"> </w:t>
      </w:r>
      <w:r w:rsidR="00B35BB8">
        <w:rPr>
          <w:sz w:val="22"/>
          <w:szCs w:val="22"/>
        </w:rPr>
        <w:t>“</w:t>
      </w:r>
      <w:r w:rsidR="00A7768B" w:rsidRPr="00127630">
        <w:rPr>
          <w:sz w:val="22"/>
          <w:szCs w:val="22"/>
        </w:rPr>
        <w:t>[</w:t>
      </w:r>
      <w:proofErr w:type="gramStart"/>
      <w:r w:rsidR="00A7768B" w:rsidRPr="00127630">
        <w:rPr>
          <w:sz w:val="22"/>
          <w:szCs w:val="22"/>
        </w:rPr>
        <w:t>..]</w:t>
      </w:r>
      <w:proofErr w:type="gramEnd"/>
      <w:r w:rsidR="00A7768B" w:rsidRPr="00127630">
        <w:rPr>
          <w:sz w:val="22"/>
          <w:szCs w:val="22"/>
        </w:rPr>
        <w:t xml:space="preserve"> </w:t>
      </w:r>
      <w:proofErr w:type="gramStart"/>
      <w:r w:rsidR="00A7768B" w:rsidRPr="00127630">
        <w:rPr>
          <w:sz w:val="22"/>
          <w:szCs w:val="22"/>
        </w:rPr>
        <w:t>t</w:t>
      </w:r>
      <w:r w:rsidR="00A7768B" w:rsidRPr="00F22861">
        <w:rPr>
          <w:rFonts w:ascii="Times" w:hAnsi="Times" w:cs="Times"/>
          <w:sz w:val="22"/>
          <w:szCs w:val="22"/>
          <w:lang w:val="en-US"/>
        </w:rPr>
        <w:t>here</w:t>
      </w:r>
      <w:proofErr w:type="gramEnd"/>
      <w:r w:rsidR="00A7768B" w:rsidRPr="00F22861">
        <w:rPr>
          <w:rFonts w:ascii="Times" w:hAnsi="Times" w:cs="Times"/>
          <w:sz w:val="22"/>
          <w:szCs w:val="22"/>
          <w:lang w:val="en-US"/>
        </w:rPr>
        <w:t xml:space="preserve"> can be no absolute division of method and objective between studying the lives and works of humans and of nonhumans. Why, then, should the participatory and interpretative approaches of the arts and humanities be limited to the study of human subjects? And why, conversely, should the observational and</w:t>
      </w:r>
      <w:r w:rsidR="00A7768B" w:rsidRPr="00065CD2">
        <w:rPr>
          <w:rFonts w:ascii="Times" w:hAnsi="Times" w:cs="Times"/>
          <w:sz w:val="22"/>
          <w:szCs w:val="22"/>
          <w:lang w:val="en-US"/>
        </w:rPr>
        <w:t xml:space="preserve"> explanatory approaches of sci</w:t>
      </w:r>
      <w:r w:rsidR="00A7768B" w:rsidRPr="00F22861">
        <w:rPr>
          <w:rFonts w:ascii="Times" w:hAnsi="Times" w:cs="Times"/>
          <w:sz w:val="22"/>
          <w:szCs w:val="22"/>
          <w:lang w:val="en-US"/>
        </w:rPr>
        <w:t>ence be limited</w:t>
      </w:r>
      <w:r w:rsidR="00A7768B" w:rsidRPr="00065CD2">
        <w:rPr>
          <w:rFonts w:ascii="Times" w:hAnsi="Times" w:cs="Times"/>
          <w:sz w:val="22"/>
          <w:szCs w:val="22"/>
          <w:lang w:val="en-US"/>
        </w:rPr>
        <w:t xml:space="preserve"> to the domain of nonhuman “na</w:t>
      </w:r>
      <w:r w:rsidR="00A7768B" w:rsidRPr="00F22861">
        <w:rPr>
          <w:rFonts w:ascii="Times" w:hAnsi="Times" w:cs="Times"/>
          <w:sz w:val="22"/>
          <w:szCs w:val="22"/>
          <w:lang w:val="en-US"/>
        </w:rPr>
        <w:t>ture”? Why, indeed, should these approaches be separated at all?</w:t>
      </w:r>
      <w:r w:rsidR="00B35BB8">
        <w:rPr>
          <w:rFonts w:ascii="Times" w:hAnsi="Times" w:cs="Times"/>
          <w:sz w:val="22"/>
          <w:szCs w:val="22"/>
          <w:lang w:val="en-US"/>
        </w:rPr>
        <w:t>”</w:t>
      </w:r>
      <w:r w:rsidR="0025742D">
        <w:rPr>
          <w:rStyle w:val="Fodnotehenvisning"/>
          <w:rFonts w:ascii="Times" w:hAnsi="Times" w:cs="Times"/>
          <w:sz w:val="22"/>
          <w:szCs w:val="22"/>
          <w:lang w:val="en-US"/>
        </w:rPr>
        <w:footnoteReference w:id="12"/>
      </w:r>
      <w:proofErr w:type="gramStart"/>
      <w:r w:rsidR="00A7768B">
        <w:rPr>
          <w:rFonts w:ascii="Times" w:hAnsi="Times" w:cs="Times"/>
          <w:sz w:val="22"/>
          <w:szCs w:val="22"/>
          <w:lang w:val="en-US"/>
        </w:rPr>
        <w:t>.</w:t>
      </w:r>
      <w:proofErr w:type="gramEnd"/>
      <w:r w:rsidR="00A7768B">
        <w:rPr>
          <w:rFonts w:ascii="Times" w:hAnsi="Times" w:cs="Times"/>
          <w:sz w:val="22"/>
          <w:szCs w:val="22"/>
          <w:lang w:val="en-US"/>
        </w:rPr>
        <w:t xml:space="preserve"> </w:t>
      </w:r>
      <w:r w:rsidR="00A7768B">
        <w:rPr>
          <w:sz w:val="22"/>
          <w:szCs w:val="22"/>
        </w:rPr>
        <w:t>However, t</w:t>
      </w:r>
      <w:r w:rsidRPr="008D1C8B">
        <w:rPr>
          <w:sz w:val="22"/>
          <w:szCs w:val="22"/>
        </w:rPr>
        <w:t>he purpose of this essay is rather more limited</w:t>
      </w:r>
      <w:r w:rsidR="00A7768B">
        <w:rPr>
          <w:sz w:val="22"/>
          <w:szCs w:val="22"/>
        </w:rPr>
        <w:t xml:space="preserve"> focusing simply on trying to communicate something of what it might mean to think </w:t>
      </w:r>
      <w:r w:rsidR="00A7768B" w:rsidRPr="00ED429E">
        <w:rPr>
          <w:i/>
          <w:sz w:val="22"/>
          <w:szCs w:val="22"/>
        </w:rPr>
        <w:t>with</w:t>
      </w:r>
      <w:r w:rsidR="00A7768B">
        <w:rPr>
          <w:sz w:val="22"/>
          <w:szCs w:val="22"/>
        </w:rPr>
        <w:t xml:space="preserve"> something</w:t>
      </w:r>
      <w:r w:rsidR="00CE4E61">
        <w:rPr>
          <w:sz w:val="22"/>
          <w:szCs w:val="22"/>
        </w:rPr>
        <w:t xml:space="preserve"> as a counter-balance to generic skills </w:t>
      </w:r>
      <w:proofErr w:type="gramStart"/>
      <w:r w:rsidR="00CE4E61">
        <w:rPr>
          <w:sz w:val="22"/>
          <w:szCs w:val="22"/>
        </w:rPr>
        <w:t>talk</w:t>
      </w:r>
      <w:proofErr w:type="gramEnd"/>
      <w:r w:rsidR="00A7768B">
        <w:rPr>
          <w:sz w:val="22"/>
          <w:szCs w:val="22"/>
        </w:rPr>
        <w:t>.</w:t>
      </w:r>
      <w:r w:rsidRPr="00052620">
        <w:rPr>
          <w:sz w:val="22"/>
          <w:szCs w:val="22"/>
        </w:rPr>
        <w:t xml:space="preserve"> </w:t>
      </w:r>
    </w:p>
    <w:p w14:paraId="27C8B8D4" w14:textId="05C29178" w:rsidR="006B4693" w:rsidRPr="006B4693" w:rsidRDefault="006B4693" w:rsidP="00B35BB8">
      <w:pPr>
        <w:jc w:val="both"/>
        <w:outlineLvl w:val="0"/>
        <w:rPr>
          <w:rFonts w:ascii="Arial" w:hAnsi="Arial" w:cs="Arial"/>
          <w:b/>
          <w:sz w:val="22"/>
          <w:lang w:val="en-US" w:bidi="en-US"/>
        </w:rPr>
      </w:pPr>
      <w:r>
        <w:rPr>
          <w:rFonts w:ascii="Arial" w:hAnsi="Arial" w:cs="Arial"/>
          <w:b/>
          <w:sz w:val="22"/>
          <w:lang w:val="en-US" w:bidi="en-US"/>
        </w:rPr>
        <w:t>Bringing Thinking to Life</w:t>
      </w:r>
    </w:p>
    <w:p w14:paraId="7A5C7B7E" w14:textId="5A676FF6" w:rsidR="00427BA8" w:rsidRPr="007F3870" w:rsidRDefault="00E25B16" w:rsidP="00F22861">
      <w:pPr>
        <w:jc w:val="both"/>
        <w:rPr>
          <w:sz w:val="22"/>
          <w:lang w:val="en-US" w:bidi="en-US"/>
        </w:rPr>
      </w:pPr>
      <w:r w:rsidRPr="00CE0087">
        <w:rPr>
          <w:i/>
          <w:sz w:val="22"/>
          <w:lang w:val="en-US" w:bidi="en-US"/>
        </w:rPr>
        <w:t xml:space="preserve"> </w:t>
      </w:r>
    </w:p>
    <w:p w14:paraId="48FA99BE" w14:textId="3CEB5A2C" w:rsidR="00AB13AD" w:rsidRPr="00F22861" w:rsidRDefault="00CE4E61" w:rsidP="00F22861">
      <w:pPr>
        <w:jc w:val="both"/>
        <w:rPr>
          <w:sz w:val="22"/>
          <w:lang w:val="en-US" w:bidi="en-US"/>
        </w:rPr>
      </w:pPr>
      <w:r>
        <w:rPr>
          <w:sz w:val="22"/>
        </w:rPr>
        <w:t>U</w:t>
      </w:r>
      <w:r w:rsidR="00EB1F0F">
        <w:rPr>
          <w:sz w:val="22"/>
        </w:rPr>
        <w:t>nderstanding thinking as a practice involves</w:t>
      </w:r>
      <w:r w:rsidR="00EB1F0F" w:rsidRPr="00CE0087">
        <w:rPr>
          <w:sz w:val="22"/>
        </w:rPr>
        <w:t xml:space="preserve"> </w:t>
      </w:r>
      <w:r w:rsidR="00ED429E">
        <w:rPr>
          <w:sz w:val="22"/>
        </w:rPr>
        <w:t xml:space="preserve">paying </w:t>
      </w:r>
      <w:r w:rsidR="00EB1F0F" w:rsidRPr="00CE0087">
        <w:rPr>
          <w:sz w:val="22"/>
        </w:rPr>
        <w:t xml:space="preserve">attention to both the </w:t>
      </w:r>
      <w:r w:rsidR="00EB1F0F" w:rsidRPr="004311F4">
        <w:rPr>
          <w:i/>
          <w:sz w:val="22"/>
        </w:rPr>
        <w:t>matter</w:t>
      </w:r>
      <w:r w:rsidR="00EB1F0F" w:rsidRPr="00CE0087">
        <w:rPr>
          <w:sz w:val="22"/>
        </w:rPr>
        <w:t xml:space="preserve"> of thinking and the ways in which thinking </w:t>
      </w:r>
      <w:r w:rsidR="00EB1F0F">
        <w:rPr>
          <w:sz w:val="22"/>
        </w:rPr>
        <w:t xml:space="preserve">itself </w:t>
      </w:r>
      <w:r w:rsidR="00EB1F0F" w:rsidRPr="00CE0087">
        <w:rPr>
          <w:sz w:val="22"/>
        </w:rPr>
        <w:t xml:space="preserve">is </w:t>
      </w:r>
      <w:r w:rsidR="00EB1F0F" w:rsidRPr="004311F4">
        <w:rPr>
          <w:i/>
          <w:sz w:val="22"/>
        </w:rPr>
        <w:t>materia</w:t>
      </w:r>
      <w:r w:rsidR="00EB1F0F">
        <w:rPr>
          <w:i/>
          <w:sz w:val="22"/>
        </w:rPr>
        <w:t xml:space="preserve">l, </w:t>
      </w:r>
      <w:r w:rsidR="00EB1F0F">
        <w:rPr>
          <w:sz w:val="22"/>
        </w:rPr>
        <w:t>for example, in</w:t>
      </w:r>
      <w:r w:rsidR="00EB1F0F" w:rsidRPr="00CE0087">
        <w:rPr>
          <w:sz w:val="22"/>
        </w:rPr>
        <w:t xml:space="preserve"> philosophy, </w:t>
      </w:r>
      <w:r w:rsidR="00EB1F0F">
        <w:rPr>
          <w:sz w:val="22"/>
        </w:rPr>
        <w:t xml:space="preserve">sound, </w:t>
      </w:r>
      <w:r w:rsidR="00EB1F0F" w:rsidRPr="00CE0087">
        <w:rPr>
          <w:sz w:val="22"/>
        </w:rPr>
        <w:t xml:space="preserve">film and metalwork. </w:t>
      </w:r>
      <w:r w:rsidR="00EB1F0F">
        <w:rPr>
          <w:sz w:val="22"/>
        </w:rPr>
        <w:t xml:space="preserve">This is rather different from some of the ways in which </w:t>
      </w:r>
      <w:r w:rsidR="00EB1F0F">
        <w:rPr>
          <w:i/>
          <w:sz w:val="22"/>
        </w:rPr>
        <w:t xml:space="preserve">thinking something </w:t>
      </w:r>
      <w:r w:rsidR="00EB1F0F">
        <w:rPr>
          <w:sz w:val="22"/>
        </w:rPr>
        <w:t xml:space="preserve">has been conceptualised. For example, </w:t>
      </w:r>
      <w:proofErr w:type="spellStart"/>
      <w:r w:rsidR="0090313B" w:rsidRPr="00CE0087">
        <w:rPr>
          <w:sz w:val="22"/>
        </w:rPr>
        <w:t>Gadamer</w:t>
      </w:r>
      <w:proofErr w:type="spellEnd"/>
      <w:r w:rsidR="0090313B" w:rsidRPr="00CE0087">
        <w:rPr>
          <w:sz w:val="22"/>
        </w:rPr>
        <w:t xml:space="preserve"> </w:t>
      </w:r>
      <w:r w:rsidR="00092817">
        <w:rPr>
          <w:sz w:val="22"/>
        </w:rPr>
        <w:t>described</w:t>
      </w:r>
      <w:r w:rsidR="0090313B" w:rsidRPr="00CE0087">
        <w:rPr>
          <w:sz w:val="22"/>
        </w:rPr>
        <w:t xml:space="preserve"> </w:t>
      </w:r>
      <w:r w:rsidR="00A12E24">
        <w:rPr>
          <w:sz w:val="22"/>
        </w:rPr>
        <w:t xml:space="preserve">Martin </w:t>
      </w:r>
      <w:r w:rsidR="0090313B" w:rsidRPr="00CE0087">
        <w:rPr>
          <w:sz w:val="22"/>
        </w:rPr>
        <w:t>Heidegger</w:t>
      </w:r>
      <w:r w:rsidR="00092817">
        <w:rPr>
          <w:sz w:val="22"/>
        </w:rPr>
        <w:t xml:space="preserve">’s </w:t>
      </w:r>
      <w:r w:rsidR="00B26BA4">
        <w:rPr>
          <w:sz w:val="22"/>
        </w:rPr>
        <w:t xml:space="preserve">pedagogical approach </w:t>
      </w:r>
      <w:r w:rsidR="0090313B" w:rsidRPr="00CE0087">
        <w:rPr>
          <w:sz w:val="22"/>
        </w:rPr>
        <w:t>in class</w:t>
      </w:r>
      <w:r w:rsidR="0090313B">
        <w:rPr>
          <w:sz w:val="22"/>
        </w:rPr>
        <w:t xml:space="preserve"> as he philosophises aloud</w:t>
      </w:r>
      <w:r w:rsidR="001D1CD2">
        <w:rPr>
          <w:sz w:val="22"/>
        </w:rPr>
        <w:t xml:space="preserve"> in class</w:t>
      </w:r>
      <w:r w:rsidR="00EB1F0F">
        <w:rPr>
          <w:sz w:val="22"/>
        </w:rPr>
        <w:t xml:space="preserve">, </w:t>
      </w:r>
      <w:r w:rsidR="00700CB0">
        <w:rPr>
          <w:sz w:val="22"/>
        </w:rPr>
        <w:t>noting</w:t>
      </w:r>
      <w:r w:rsidR="0090313B" w:rsidRPr="00CE0087">
        <w:rPr>
          <w:sz w:val="22"/>
        </w:rPr>
        <w:t xml:space="preserve">, </w:t>
      </w:r>
      <w:r w:rsidR="00B35BB8">
        <w:rPr>
          <w:sz w:val="22"/>
        </w:rPr>
        <w:t>“</w:t>
      </w:r>
      <w:r w:rsidR="0090313B" w:rsidRPr="004311F4">
        <w:rPr>
          <w:sz w:val="22"/>
        </w:rPr>
        <w:t>One need only recall the way He</w:t>
      </w:r>
      <w:r w:rsidR="00C570EC">
        <w:rPr>
          <w:sz w:val="22"/>
        </w:rPr>
        <w:t>idegger approached the lectern - the</w:t>
      </w:r>
      <w:r w:rsidR="0090313B" w:rsidRPr="004311F4">
        <w:rPr>
          <w:sz w:val="22"/>
        </w:rPr>
        <w:t xml:space="preserve"> excited and almost angry seriousness with which his thought was ventured, the way he glanced askance at the window, his eyes only brushing over the audience, and the way his voice was pushed to its very </w:t>
      </w:r>
      <w:r w:rsidR="00B0291D">
        <w:rPr>
          <w:sz w:val="22"/>
        </w:rPr>
        <w:t>limit in all of the excitement</w:t>
      </w:r>
      <w:r w:rsidR="00B35BB8">
        <w:rPr>
          <w:sz w:val="22"/>
        </w:rPr>
        <w:t>”</w:t>
      </w:r>
      <w:r w:rsidR="00B0291D">
        <w:rPr>
          <w:sz w:val="22"/>
        </w:rPr>
        <w:t>.</w:t>
      </w:r>
      <w:r w:rsidR="00B0291D">
        <w:rPr>
          <w:rStyle w:val="Fodnotehenvisning"/>
          <w:sz w:val="22"/>
        </w:rPr>
        <w:footnoteReference w:id="13"/>
      </w:r>
      <w:r w:rsidR="00B0291D">
        <w:rPr>
          <w:sz w:val="22"/>
        </w:rPr>
        <w:t xml:space="preserve"> </w:t>
      </w:r>
      <w:r w:rsidR="00A12E24">
        <w:rPr>
          <w:sz w:val="22"/>
        </w:rPr>
        <w:t>This</w:t>
      </w:r>
      <w:r w:rsidR="006B4693">
        <w:rPr>
          <w:sz w:val="22"/>
        </w:rPr>
        <w:t xml:space="preserve"> </w:t>
      </w:r>
      <w:r w:rsidR="00EB4033">
        <w:rPr>
          <w:sz w:val="22"/>
        </w:rPr>
        <w:t>exemplified for his students, his</w:t>
      </w:r>
      <w:r w:rsidR="006B4693">
        <w:rPr>
          <w:sz w:val="22"/>
        </w:rPr>
        <w:t xml:space="preserve"> thinking</w:t>
      </w:r>
      <w:r w:rsidR="0090313B">
        <w:rPr>
          <w:sz w:val="22"/>
        </w:rPr>
        <w:t xml:space="preserve"> in action, visible</w:t>
      </w:r>
      <w:r w:rsidR="001D1CD2">
        <w:rPr>
          <w:sz w:val="22"/>
        </w:rPr>
        <w:t xml:space="preserve">, </w:t>
      </w:r>
      <w:r w:rsidR="006B4693">
        <w:rPr>
          <w:sz w:val="22"/>
        </w:rPr>
        <w:t xml:space="preserve">palpable, </w:t>
      </w:r>
      <w:r w:rsidR="001D1CD2">
        <w:rPr>
          <w:sz w:val="22"/>
        </w:rPr>
        <w:t>through the vibrations of the voice</w:t>
      </w:r>
      <w:r w:rsidR="0090313B">
        <w:rPr>
          <w:sz w:val="22"/>
        </w:rPr>
        <w:t>, following the concepts</w:t>
      </w:r>
      <w:r w:rsidR="001D1CD2">
        <w:rPr>
          <w:sz w:val="22"/>
        </w:rPr>
        <w:t xml:space="preserve"> </w:t>
      </w:r>
      <w:r w:rsidR="00092817">
        <w:rPr>
          <w:sz w:val="22"/>
        </w:rPr>
        <w:t xml:space="preserve">he </w:t>
      </w:r>
      <w:r w:rsidR="001D1CD2">
        <w:rPr>
          <w:sz w:val="22"/>
        </w:rPr>
        <w:t>created in speaking</w:t>
      </w:r>
      <w:r w:rsidR="0090313B">
        <w:rPr>
          <w:sz w:val="22"/>
        </w:rPr>
        <w:t xml:space="preserve"> as </w:t>
      </w:r>
      <w:r w:rsidR="00A12E24">
        <w:rPr>
          <w:sz w:val="22"/>
        </w:rPr>
        <w:t>though</w:t>
      </w:r>
      <w:r w:rsidR="00EB4033">
        <w:rPr>
          <w:sz w:val="22"/>
        </w:rPr>
        <w:t xml:space="preserve"> </w:t>
      </w:r>
      <w:r w:rsidR="001D1CD2">
        <w:rPr>
          <w:sz w:val="22"/>
        </w:rPr>
        <w:t>simultaneously</w:t>
      </w:r>
      <w:r w:rsidR="00A12E24">
        <w:rPr>
          <w:sz w:val="22"/>
        </w:rPr>
        <w:t xml:space="preserve"> </w:t>
      </w:r>
      <w:r w:rsidR="0090313B">
        <w:rPr>
          <w:sz w:val="22"/>
        </w:rPr>
        <w:t>trail</w:t>
      </w:r>
      <w:r w:rsidR="00A12E24">
        <w:rPr>
          <w:sz w:val="22"/>
        </w:rPr>
        <w:t>ing</w:t>
      </w:r>
      <w:r w:rsidR="00EB4033">
        <w:rPr>
          <w:sz w:val="22"/>
        </w:rPr>
        <w:t xml:space="preserve"> and tracking</w:t>
      </w:r>
      <w:r w:rsidR="00A12E24">
        <w:rPr>
          <w:sz w:val="22"/>
        </w:rPr>
        <w:t xml:space="preserve"> them</w:t>
      </w:r>
      <w:r w:rsidR="0090313B">
        <w:rPr>
          <w:sz w:val="22"/>
        </w:rPr>
        <w:t xml:space="preserve">. </w:t>
      </w:r>
      <w:r w:rsidR="00A12E24">
        <w:rPr>
          <w:sz w:val="22"/>
        </w:rPr>
        <w:t>T</w:t>
      </w:r>
      <w:r w:rsidR="0017448A">
        <w:rPr>
          <w:sz w:val="22"/>
        </w:rPr>
        <w:t>he</w:t>
      </w:r>
      <w:r w:rsidR="00C80E2B" w:rsidRPr="00CE0087">
        <w:rPr>
          <w:sz w:val="22"/>
        </w:rPr>
        <w:t xml:space="preserve"> thinking experience involves the most heightened and exhi</w:t>
      </w:r>
      <w:r w:rsidR="0017448A">
        <w:rPr>
          <w:sz w:val="22"/>
        </w:rPr>
        <w:t>larating feeling of being alive, says Hannah Arendt</w:t>
      </w:r>
      <w:r w:rsidR="00B26BA4">
        <w:rPr>
          <w:sz w:val="22"/>
        </w:rPr>
        <w:t>, describing</w:t>
      </w:r>
      <w:r w:rsidR="0017448A">
        <w:rPr>
          <w:sz w:val="22"/>
        </w:rPr>
        <w:t xml:space="preserve"> </w:t>
      </w:r>
      <w:r w:rsidR="00B26BA4">
        <w:rPr>
          <w:sz w:val="22"/>
        </w:rPr>
        <w:t>Heidegger’s ‘</w:t>
      </w:r>
      <w:r w:rsidR="0017448A">
        <w:rPr>
          <w:sz w:val="22"/>
        </w:rPr>
        <w:t>passionate thinking</w:t>
      </w:r>
      <w:r w:rsidR="00B26BA4">
        <w:rPr>
          <w:sz w:val="22"/>
        </w:rPr>
        <w:t>’ as the idea of having</w:t>
      </w:r>
      <w:r w:rsidR="00012DE7" w:rsidRPr="00CE0087">
        <w:rPr>
          <w:sz w:val="22"/>
        </w:rPr>
        <w:t xml:space="preserve"> ‘thought </w:t>
      </w:r>
      <w:r w:rsidR="00012DE7" w:rsidRPr="00CE0087">
        <w:rPr>
          <w:i/>
          <w:sz w:val="22"/>
        </w:rPr>
        <w:t>something’</w:t>
      </w:r>
      <w:r w:rsidR="00012DE7" w:rsidRPr="00CE0087">
        <w:rPr>
          <w:sz w:val="22"/>
        </w:rPr>
        <w:t xml:space="preserve"> rather than ‘thought </w:t>
      </w:r>
      <w:r w:rsidR="00012DE7" w:rsidRPr="00CE0087">
        <w:rPr>
          <w:i/>
          <w:sz w:val="22"/>
        </w:rPr>
        <w:t>about</w:t>
      </w:r>
      <w:r w:rsidR="0017448A">
        <w:rPr>
          <w:sz w:val="22"/>
        </w:rPr>
        <w:t xml:space="preserve"> something’. B</w:t>
      </w:r>
      <w:r w:rsidR="00012DE7">
        <w:rPr>
          <w:sz w:val="22"/>
        </w:rPr>
        <w:t>ut w</w:t>
      </w:r>
      <w:r w:rsidR="00012DE7" w:rsidRPr="00CE0087">
        <w:rPr>
          <w:sz w:val="22"/>
        </w:rPr>
        <w:t xml:space="preserve">hat does it mean to ‘think </w:t>
      </w:r>
      <w:r w:rsidR="00012DE7" w:rsidRPr="00CE0087">
        <w:rPr>
          <w:i/>
          <w:sz w:val="22"/>
        </w:rPr>
        <w:t>something</w:t>
      </w:r>
      <w:r w:rsidR="00012DE7" w:rsidRPr="00CE0087">
        <w:rPr>
          <w:sz w:val="22"/>
        </w:rPr>
        <w:t>’?</w:t>
      </w:r>
      <w:r w:rsidR="00012DE7">
        <w:rPr>
          <w:sz w:val="22"/>
        </w:rPr>
        <w:t xml:space="preserve"> </w:t>
      </w:r>
      <w:r w:rsidR="00A12E24">
        <w:rPr>
          <w:sz w:val="22"/>
        </w:rPr>
        <w:t xml:space="preserve">Whilst this image of the vitality of the experience </w:t>
      </w:r>
      <w:r w:rsidR="00653CB0">
        <w:rPr>
          <w:sz w:val="22"/>
        </w:rPr>
        <w:t xml:space="preserve">of thinking </w:t>
      </w:r>
      <w:r w:rsidR="00A12E24">
        <w:rPr>
          <w:sz w:val="22"/>
        </w:rPr>
        <w:t xml:space="preserve">captures something of what I want to suggest by material thinking, </w:t>
      </w:r>
      <w:r w:rsidR="00324C5C">
        <w:rPr>
          <w:sz w:val="22"/>
        </w:rPr>
        <w:t>Arendt does not full</w:t>
      </w:r>
      <w:r w:rsidR="009C055D">
        <w:rPr>
          <w:sz w:val="22"/>
        </w:rPr>
        <w:t>y</w:t>
      </w:r>
      <w:r w:rsidR="00324C5C">
        <w:rPr>
          <w:sz w:val="22"/>
        </w:rPr>
        <w:t xml:space="preserve"> pursue the idea that thinking might be a material practice</w:t>
      </w:r>
      <w:r w:rsidR="00A7768B">
        <w:rPr>
          <w:sz w:val="22"/>
        </w:rPr>
        <w:t xml:space="preserve"> and that thinking </w:t>
      </w:r>
      <w:r w:rsidR="00A7768B" w:rsidRPr="00CE4E61">
        <w:rPr>
          <w:i/>
          <w:sz w:val="22"/>
        </w:rPr>
        <w:t>with</w:t>
      </w:r>
      <w:r w:rsidR="00A7768B">
        <w:rPr>
          <w:sz w:val="22"/>
        </w:rPr>
        <w:t xml:space="preserve"> </w:t>
      </w:r>
      <w:r>
        <w:rPr>
          <w:sz w:val="22"/>
        </w:rPr>
        <w:t xml:space="preserve">something </w:t>
      </w:r>
      <w:r w:rsidR="00A7768B">
        <w:rPr>
          <w:sz w:val="22"/>
        </w:rPr>
        <w:t>might preserve such liveliness</w:t>
      </w:r>
      <w:r w:rsidR="00324C5C">
        <w:rPr>
          <w:sz w:val="22"/>
        </w:rPr>
        <w:t>. ‘T</w:t>
      </w:r>
      <w:r w:rsidR="00C80E2B" w:rsidRPr="00CE0087">
        <w:rPr>
          <w:sz w:val="22"/>
        </w:rPr>
        <w:t xml:space="preserve">hinking </w:t>
      </w:r>
      <w:r w:rsidR="00C80E2B" w:rsidRPr="00CE0087">
        <w:rPr>
          <w:i/>
          <w:sz w:val="22"/>
        </w:rPr>
        <w:t>something’</w:t>
      </w:r>
      <w:r w:rsidR="00C80E2B" w:rsidRPr="00CE0087">
        <w:rPr>
          <w:sz w:val="22"/>
        </w:rPr>
        <w:t>, for Arendt</w:t>
      </w:r>
      <w:r w:rsidR="00324C5C">
        <w:rPr>
          <w:sz w:val="22"/>
        </w:rPr>
        <w:t>,</w:t>
      </w:r>
      <w:r w:rsidR="00C80E2B" w:rsidRPr="00CE0087">
        <w:rPr>
          <w:sz w:val="22"/>
        </w:rPr>
        <w:t xml:space="preserve"> </w:t>
      </w:r>
      <w:r w:rsidR="00324C5C">
        <w:rPr>
          <w:sz w:val="22"/>
        </w:rPr>
        <w:t xml:space="preserve">requires </w:t>
      </w:r>
      <w:r w:rsidR="00C80E2B" w:rsidRPr="00CE0087">
        <w:rPr>
          <w:sz w:val="22"/>
        </w:rPr>
        <w:t xml:space="preserve">that </w:t>
      </w:r>
      <w:r w:rsidR="00C80E2B" w:rsidRPr="00CE0087">
        <w:rPr>
          <w:i/>
          <w:sz w:val="22"/>
        </w:rPr>
        <w:t>something</w:t>
      </w:r>
      <w:r w:rsidR="00324C5C">
        <w:rPr>
          <w:sz w:val="22"/>
        </w:rPr>
        <w:t xml:space="preserve"> be</w:t>
      </w:r>
      <w:r w:rsidR="00C80E2B" w:rsidRPr="00CE0087">
        <w:rPr>
          <w:sz w:val="22"/>
        </w:rPr>
        <w:t xml:space="preserve"> de-sensed as the mind withdraws from the body to think.</w:t>
      </w:r>
      <w:r w:rsidR="00012DE7">
        <w:rPr>
          <w:b/>
          <w:sz w:val="22"/>
        </w:rPr>
        <w:t xml:space="preserve"> </w:t>
      </w:r>
      <w:r w:rsidR="009C055D">
        <w:rPr>
          <w:sz w:val="22"/>
        </w:rPr>
        <w:t xml:space="preserve">This </w:t>
      </w:r>
      <w:r w:rsidR="00324C5C">
        <w:rPr>
          <w:sz w:val="22"/>
        </w:rPr>
        <w:t xml:space="preserve">kind of passionate thinking, </w:t>
      </w:r>
      <w:r w:rsidR="009C055D">
        <w:rPr>
          <w:sz w:val="22"/>
        </w:rPr>
        <w:t xml:space="preserve">framed as </w:t>
      </w:r>
      <w:r w:rsidR="00324C5C">
        <w:rPr>
          <w:sz w:val="22"/>
        </w:rPr>
        <w:t xml:space="preserve">thinking </w:t>
      </w:r>
      <w:r w:rsidR="00324C5C">
        <w:rPr>
          <w:i/>
          <w:sz w:val="22"/>
        </w:rPr>
        <w:t>something</w:t>
      </w:r>
      <w:r w:rsidR="009C055D">
        <w:rPr>
          <w:i/>
          <w:sz w:val="22"/>
        </w:rPr>
        <w:t>,</w:t>
      </w:r>
      <w:r w:rsidR="003C7060">
        <w:rPr>
          <w:sz w:val="22"/>
        </w:rPr>
        <w:t xml:space="preserve"> is not</w:t>
      </w:r>
      <w:r w:rsidR="00AB13AD">
        <w:rPr>
          <w:sz w:val="22"/>
        </w:rPr>
        <w:t xml:space="preserve"> the same as </w:t>
      </w:r>
      <w:r w:rsidR="00EB1F0F">
        <w:rPr>
          <w:sz w:val="22"/>
        </w:rPr>
        <w:t xml:space="preserve">the </w:t>
      </w:r>
      <w:r w:rsidR="00AB13AD" w:rsidRPr="00CE0087">
        <w:rPr>
          <w:i/>
          <w:sz w:val="22"/>
        </w:rPr>
        <w:t xml:space="preserve">material </w:t>
      </w:r>
      <w:r w:rsidR="009E6B84">
        <w:rPr>
          <w:sz w:val="22"/>
        </w:rPr>
        <w:t>thinking</w:t>
      </w:r>
      <w:r w:rsidR="00EB1F0F">
        <w:rPr>
          <w:sz w:val="22"/>
        </w:rPr>
        <w:t xml:space="preserve"> of thinking </w:t>
      </w:r>
      <w:r w:rsidR="00EB1F0F" w:rsidRPr="00E64108">
        <w:rPr>
          <w:i/>
          <w:sz w:val="22"/>
        </w:rPr>
        <w:t>with</w:t>
      </w:r>
      <w:r w:rsidR="00EB1F0F">
        <w:rPr>
          <w:sz w:val="22"/>
        </w:rPr>
        <w:t xml:space="preserve"> something</w:t>
      </w:r>
      <w:r w:rsidR="00AB13AD">
        <w:rPr>
          <w:sz w:val="22"/>
        </w:rPr>
        <w:t xml:space="preserve"> </w:t>
      </w:r>
      <w:r w:rsidR="00A7768B">
        <w:rPr>
          <w:sz w:val="22"/>
        </w:rPr>
        <w:t xml:space="preserve">understood as </w:t>
      </w:r>
      <w:r w:rsidR="00012DE7">
        <w:rPr>
          <w:sz w:val="22"/>
        </w:rPr>
        <w:t>practices of thinking embedde</w:t>
      </w:r>
      <w:r w:rsidR="00AB13AD">
        <w:rPr>
          <w:sz w:val="22"/>
        </w:rPr>
        <w:t>d in</w:t>
      </w:r>
      <w:r w:rsidR="00AB13AD" w:rsidRPr="00CE0087">
        <w:rPr>
          <w:sz w:val="22"/>
        </w:rPr>
        <w:t xml:space="preserve"> concrete and specific context</w:t>
      </w:r>
      <w:r w:rsidR="00AB13AD">
        <w:rPr>
          <w:sz w:val="22"/>
        </w:rPr>
        <w:t>s such that the genesis of thought</w:t>
      </w:r>
      <w:r w:rsidR="00AB13AD" w:rsidRPr="00CE0087">
        <w:rPr>
          <w:sz w:val="22"/>
        </w:rPr>
        <w:t xml:space="preserve"> is informed by an on</w:t>
      </w:r>
      <w:r w:rsidR="00012DE7">
        <w:rPr>
          <w:sz w:val="22"/>
        </w:rPr>
        <w:t>-</w:t>
      </w:r>
      <w:r w:rsidR="00AB13AD" w:rsidRPr="00CE0087">
        <w:rPr>
          <w:sz w:val="22"/>
        </w:rPr>
        <w:t>go</w:t>
      </w:r>
      <w:r w:rsidR="00AB13AD">
        <w:rPr>
          <w:sz w:val="22"/>
        </w:rPr>
        <w:t>i</w:t>
      </w:r>
      <w:r w:rsidR="003C7060">
        <w:rPr>
          <w:sz w:val="22"/>
        </w:rPr>
        <w:t xml:space="preserve">ng interplay with its material. </w:t>
      </w:r>
      <w:r w:rsidR="003F02BC" w:rsidRPr="00CE0087">
        <w:rPr>
          <w:sz w:val="22"/>
        </w:rPr>
        <w:t xml:space="preserve">There are different kinds of ideas depending on the field in which one </w:t>
      </w:r>
      <w:proofErr w:type="gramStart"/>
      <w:r w:rsidR="003F02BC" w:rsidRPr="00CE0087">
        <w:rPr>
          <w:sz w:val="22"/>
        </w:rPr>
        <w:t>works</w:t>
      </w:r>
      <w:r w:rsidR="003F02BC">
        <w:rPr>
          <w:sz w:val="22"/>
        </w:rPr>
        <w:t>,</w:t>
      </w:r>
      <w:proofErr w:type="gramEnd"/>
      <w:r w:rsidR="003F02BC">
        <w:rPr>
          <w:sz w:val="22"/>
        </w:rPr>
        <w:t xml:space="preserve"> and</w:t>
      </w:r>
      <w:r w:rsidR="003F02BC" w:rsidRPr="00CE0087">
        <w:rPr>
          <w:sz w:val="22"/>
        </w:rPr>
        <w:t xml:space="preserve"> </w:t>
      </w:r>
      <w:r w:rsidR="003F02BC">
        <w:rPr>
          <w:sz w:val="22"/>
        </w:rPr>
        <w:t>ideas</w:t>
      </w:r>
      <w:r w:rsidR="003F02BC" w:rsidRPr="00CE0087">
        <w:rPr>
          <w:sz w:val="22"/>
        </w:rPr>
        <w:t xml:space="preserve"> do not translate readily from one to the ot</w:t>
      </w:r>
      <w:r w:rsidR="003F02BC">
        <w:rPr>
          <w:sz w:val="22"/>
        </w:rPr>
        <w:t>her.</w:t>
      </w:r>
      <w:r w:rsidR="004B228D">
        <w:rPr>
          <w:sz w:val="22"/>
          <w:lang w:val="en-US" w:bidi="en-US"/>
        </w:rPr>
        <w:t xml:space="preserve"> </w:t>
      </w:r>
    </w:p>
    <w:p w14:paraId="50E8E95C" w14:textId="77777777" w:rsidR="00AB13AD" w:rsidRPr="00CE0087" w:rsidRDefault="00AB13AD" w:rsidP="00F22861">
      <w:pPr>
        <w:jc w:val="both"/>
        <w:rPr>
          <w:sz w:val="22"/>
        </w:rPr>
      </w:pPr>
    </w:p>
    <w:p w14:paraId="124D5860" w14:textId="73CBF004" w:rsidR="00C80E2B" w:rsidRPr="00CE0087" w:rsidRDefault="00EB1F0F" w:rsidP="00F22861">
      <w:pPr>
        <w:jc w:val="both"/>
        <w:rPr>
          <w:sz w:val="22"/>
          <w:lang w:bidi="en-US"/>
        </w:rPr>
      </w:pPr>
      <w:r>
        <w:rPr>
          <w:sz w:val="22"/>
        </w:rPr>
        <w:t>Taking</w:t>
      </w:r>
      <w:r w:rsidR="003C7060">
        <w:rPr>
          <w:sz w:val="22"/>
        </w:rPr>
        <w:t xml:space="preserve"> up </w:t>
      </w:r>
      <w:r w:rsidR="00C80E2B" w:rsidRPr="00CE0087">
        <w:rPr>
          <w:sz w:val="22"/>
        </w:rPr>
        <w:t xml:space="preserve">the distinction between thinking </w:t>
      </w:r>
      <w:r w:rsidR="00C80E2B" w:rsidRPr="003C7060">
        <w:rPr>
          <w:i/>
          <w:sz w:val="22"/>
        </w:rPr>
        <w:t>something</w:t>
      </w:r>
      <w:r w:rsidR="00A7768B">
        <w:rPr>
          <w:sz w:val="22"/>
        </w:rPr>
        <w:t xml:space="preserve"> </w:t>
      </w:r>
      <w:r w:rsidR="00C80E2B" w:rsidRPr="00CE0087">
        <w:rPr>
          <w:sz w:val="22"/>
        </w:rPr>
        <w:t xml:space="preserve">and thinking </w:t>
      </w:r>
      <w:r w:rsidR="00C80E2B" w:rsidRPr="003C7060">
        <w:rPr>
          <w:i/>
          <w:sz w:val="22"/>
        </w:rPr>
        <w:t>about</w:t>
      </w:r>
      <w:r w:rsidR="00C80E2B" w:rsidRPr="00CE0087">
        <w:rPr>
          <w:sz w:val="22"/>
        </w:rPr>
        <w:t xml:space="preserve"> something</w:t>
      </w:r>
      <w:r>
        <w:rPr>
          <w:sz w:val="22"/>
        </w:rPr>
        <w:t xml:space="preserve"> </w:t>
      </w:r>
      <w:r w:rsidR="00ED429E">
        <w:rPr>
          <w:sz w:val="22"/>
        </w:rPr>
        <w:t>by</w:t>
      </w:r>
      <w:r>
        <w:rPr>
          <w:sz w:val="22"/>
        </w:rPr>
        <w:t xml:space="preserve"> offering the idea of thinking </w:t>
      </w:r>
      <w:r>
        <w:rPr>
          <w:i/>
          <w:sz w:val="22"/>
        </w:rPr>
        <w:t xml:space="preserve">with </w:t>
      </w:r>
      <w:r>
        <w:rPr>
          <w:sz w:val="22"/>
        </w:rPr>
        <w:t>something</w:t>
      </w:r>
      <w:r w:rsidR="003C7060">
        <w:rPr>
          <w:sz w:val="22"/>
        </w:rPr>
        <w:t xml:space="preserve"> can help to</w:t>
      </w:r>
      <w:r w:rsidR="00552FD1">
        <w:rPr>
          <w:sz w:val="22"/>
        </w:rPr>
        <w:t xml:space="preserve"> begin to</w:t>
      </w:r>
      <w:r w:rsidR="003C7060">
        <w:rPr>
          <w:sz w:val="22"/>
        </w:rPr>
        <w:t xml:space="preserve"> </w:t>
      </w:r>
      <w:r w:rsidR="00804E80">
        <w:rPr>
          <w:sz w:val="22"/>
        </w:rPr>
        <w:t>map</w:t>
      </w:r>
      <w:r w:rsidR="00C80E2B" w:rsidRPr="00CE0087">
        <w:rPr>
          <w:sz w:val="22"/>
        </w:rPr>
        <w:t xml:space="preserve"> </w:t>
      </w:r>
      <w:r w:rsidR="003C7060">
        <w:rPr>
          <w:sz w:val="22"/>
        </w:rPr>
        <w:t xml:space="preserve">qualitative and experiential </w:t>
      </w:r>
      <w:r w:rsidR="00C80E2B" w:rsidRPr="00CE0087">
        <w:rPr>
          <w:sz w:val="22"/>
        </w:rPr>
        <w:t>difference</w:t>
      </w:r>
      <w:r w:rsidR="003C7060">
        <w:rPr>
          <w:sz w:val="22"/>
        </w:rPr>
        <w:t>s</w:t>
      </w:r>
      <w:r w:rsidR="00C80E2B" w:rsidRPr="00CE0087">
        <w:rPr>
          <w:sz w:val="22"/>
        </w:rPr>
        <w:t xml:space="preserve"> between the different kinds of thinking </w:t>
      </w:r>
      <w:r w:rsidR="00804E80">
        <w:rPr>
          <w:sz w:val="22"/>
        </w:rPr>
        <w:t>in which</w:t>
      </w:r>
      <w:r w:rsidR="00C80E2B" w:rsidRPr="00CE0087">
        <w:rPr>
          <w:sz w:val="22"/>
        </w:rPr>
        <w:t xml:space="preserve"> one engages </w:t>
      </w:r>
      <w:r w:rsidR="003C7060">
        <w:rPr>
          <w:sz w:val="22"/>
        </w:rPr>
        <w:t>if one is</w:t>
      </w:r>
      <w:r w:rsidR="00C80E2B" w:rsidRPr="00CE0087">
        <w:rPr>
          <w:sz w:val="22"/>
        </w:rPr>
        <w:t xml:space="preserve">, for example, </w:t>
      </w:r>
      <w:r w:rsidR="00804E80">
        <w:rPr>
          <w:sz w:val="22"/>
        </w:rPr>
        <w:t>writing philosophy</w:t>
      </w:r>
      <w:r w:rsidR="00C80E2B" w:rsidRPr="00CE0087">
        <w:rPr>
          <w:sz w:val="22"/>
        </w:rPr>
        <w:t xml:space="preserve">, </w:t>
      </w:r>
      <w:r w:rsidR="00804E80">
        <w:rPr>
          <w:sz w:val="22"/>
        </w:rPr>
        <w:t xml:space="preserve">making </w:t>
      </w:r>
      <w:r w:rsidR="00DE2F50">
        <w:rPr>
          <w:sz w:val="22"/>
        </w:rPr>
        <w:t xml:space="preserve">an </w:t>
      </w:r>
      <w:r w:rsidR="00804E80">
        <w:rPr>
          <w:sz w:val="22"/>
        </w:rPr>
        <w:t>artwork</w:t>
      </w:r>
      <w:r w:rsidR="00C80E2B" w:rsidRPr="00CE0087">
        <w:rPr>
          <w:sz w:val="22"/>
        </w:rPr>
        <w:t xml:space="preserve">, </w:t>
      </w:r>
      <w:r w:rsidR="00804E80">
        <w:rPr>
          <w:sz w:val="22"/>
        </w:rPr>
        <w:t>building a cabinet</w:t>
      </w:r>
      <w:r w:rsidR="00C80E2B" w:rsidRPr="00CE0087">
        <w:rPr>
          <w:sz w:val="22"/>
        </w:rPr>
        <w:t xml:space="preserve">, </w:t>
      </w:r>
      <w:r w:rsidR="00804E80">
        <w:rPr>
          <w:sz w:val="22"/>
        </w:rPr>
        <w:t xml:space="preserve">studying the </w:t>
      </w:r>
      <w:r w:rsidR="007C4FD5">
        <w:rPr>
          <w:i/>
          <w:sz w:val="22"/>
        </w:rPr>
        <w:t>drosophil</w:t>
      </w:r>
      <w:r w:rsidR="00804E80">
        <w:rPr>
          <w:i/>
          <w:sz w:val="22"/>
        </w:rPr>
        <w:t>a</w:t>
      </w:r>
      <w:r w:rsidR="00653CB0">
        <w:rPr>
          <w:i/>
          <w:sz w:val="22"/>
        </w:rPr>
        <w:t>,</w:t>
      </w:r>
      <w:r w:rsidR="00C80E2B" w:rsidRPr="00CE0087">
        <w:rPr>
          <w:sz w:val="22"/>
        </w:rPr>
        <w:t xml:space="preserve"> or </w:t>
      </w:r>
      <w:r w:rsidR="00804E80">
        <w:rPr>
          <w:sz w:val="22"/>
        </w:rPr>
        <w:t>editing a film</w:t>
      </w:r>
      <w:r w:rsidR="00B35BB8">
        <w:rPr>
          <w:sz w:val="22"/>
        </w:rPr>
        <w:t>. In a short piece called “</w:t>
      </w:r>
      <w:r w:rsidR="00C80E2B" w:rsidRPr="00CE0087">
        <w:rPr>
          <w:sz w:val="22"/>
        </w:rPr>
        <w:t>What is the Creative Act</w:t>
      </w:r>
      <w:r w:rsidR="00B35BB8">
        <w:rPr>
          <w:sz w:val="22"/>
        </w:rPr>
        <w:t>”</w:t>
      </w:r>
      <w:r w:rsidR="00C80E2B" w:rsidRPr="00CE0087">
        <w:rPr>
          <w:sz w:val="22"/>
        </w:rPr>
        <w:t>,</w:t>
      </w:r>
      <w:r w:rsidR="009B6C2B">
        <w:rPr>
          <w:rStyle w:val="Fodnotehenvisning"/>
          <w:sz w:val="22"/>
        </w:rPr>
        <w:footnoteReference w:id="14"/>
      </w:r>
      <w:r w:rsidR="00C80E2B" w:rsidRPr="00CE0087">
        <w:rPr>
          <w:sz w:val="22"/>
        </w:rPr>
        <w:t xml:space="preserve"> </w:t>
      </w:r>
      <w:proofErr w:type="spellStart"/>
      <w:r w:rsidR="00C80E2B" w:rsidRPr="00CE0087">
        <w:rPr>
          <w:sz w:val="22"/>
        </w:rPr>
        <w:t>Deleuze</w:t>
      </w:r>
      <w:proofErr w:type="spellEnd"/>
      <w:r w:rsidR="00C80E2B" w:rsidRPr="00CE0087">
        <w:rPr>
          <w:sz w:val="22"/>
        </w:rPr>
        <w:t xml:space="preserve"> </w:t>
      </w:r>
      <w:r w:rsidR="0073161A">
        <w:rPr>
          <w:sz w:val="22"/>
        </w:rPr>
        <w:t>elaborates on th</w:t>
      </w:r>
      <w:r>
        <w:rPr>
          <w:sz w:val="22"/>
        </w:rPr>
        <w:t>e specificity of ideas and the ways in which they are manifested differently depending on the expressive potential of the matter of thought. He says that</w:t>
      </w:r>
      <w:r w:rsidR="003C7060">
        <w:rPr>
          <w:sz w:val="22"/>
        </w:rPr>
        <w:t xml:space="preserve"> </w:t>
      </w:r>
      <w:r w:rsidR="00B35BB8">
        <w:rPr>
          <w:sz w:val="22"/>
          <w:lang w:bidi="en-US"/>
        </w:rPr>
        <w:t>“</w:t>
      </w:r>
      <w:r w:rsidR="00C80E2B" w:rsidRPr="00CE0087">
        <w:rPr>
          <w:sz w:val="22"/>
          <w:lang w:bidi="en-US"/>
        </w:rPr>
        <w:t xml:space="preserve">Treating philosophy as the power to ‘think about’ seems to be giving it a great deal, but in fact it takes everything away from it. No one needs philosophy to think […] </w:t>
      </w:r>
      <w:proofErr w:type="gramStart"/>
      <w:r w:rsidR="00C80E2B" w:rsidRPr="00CE0087">
        <w:rPr>
          <w:sz w:val="22"/>
          <w:lang w:bidi="en-US"/>
        </w:rPr>
        <w:t>If</w:t>
      </w:r>
      <w:proofErr w:type="gramEnd"/>
      <w:r w:rsidR="00C80E2B" w:rsidRPr="00CE0087">
        <w:rPr>
          <w:sz w:val="22"/>
          <w:lang w:bidi="en-US"/>
        </w:rPr>
        <w:t xml:space="preserve"> philosophy has to be used to think about something, it would have no reason to exist. If philosophy exists, it is because it has its own content</w:t>
      </w:r>
      <w:r w:rsidR="00B35BB8">
        <w:rPr>
          <w:sz w:val="22"/>
          <w:lang w:bidi="en-US"/>
        </w:rPr>
        <w:t>”</w:t>
      </w:r>
      <w:r w:rsidR="009B6C2B">
        <w:rPr>
          <w:sz w:val="22"/>
          <w:lang w:bidi="en-US"/>
        </w:rPr>
        <w:t>.</w:t>
      </w:r>
      <w:r w:rsidR="009B6C2B">
        <w:rPr>
          <w:rStyle w:val="Fodnotehenvisning"/>
          <w:sz w:val="22"/>
          <w:lang w:bidi="en-US"/>
        </w:rPr>
        <w:footnoteReference w:id="15"/>
      </w:r>
      <w:r w:rsidR="009B6C2B">
        <w:rPr>
          <w:sz w:val="22"/>
          <w:lang w:bidi="en-US"/>
        </w:rPr>
        <w:t xml:space="preserve"> </w:t>
      </w:r>
      <w:r w:rsidR="00C80E2B" w:rsidRPr="00CE0087">
        <w:rPr>
          <w:sz w:val="22"/>
          <w:lang w:bidi="en-US"/>
        </w:rPr>
        <w:t xml:space="preserve">For </w:t>
      </w:r>
      <w:proofErr w:type="spellStart"/>
      <w:r w:rsidR="00C80E2B" w:rsidRPr="00CE0087">
        <w:rPr>
          <w:sz w:val="22"/>
          <w:lang w:bidi="en-US"/>
        </w:rPr>
        <w:t>Deleuze</w:t>
      </w:r>
      <w:proofErr w:type="spellEnd"/>
      <w:r w:rsidR="00C80E2B" w:rsidRPr="00CE0087">
        <w:rPr>
          <w:sz w:val="22"/>
          <w:lang w:bidi="en-US"/>
        </w:rPr>
        <w:t xml:space="preserve"> and </w:t>
      </w:r>
      <w:proofErr w:type="spellStart"/>
      <w:r w:rsidR="00C80E2B" w:rsidRPr="00CE0087">
        <w:rPr>
          <w:sz w:val="22"/>
          <w:lang w:bidi="en-US"/>
        </w:rPr>
        <w:t>Guattari</w:t>
      </w:r>
      <w:proofErr w:type="spellEnd"/>
      <w:r w:rsidR="00C80E2B" w:rsidRPr="00CE0087">
        <w:rPr>
          <w:sz w:val="22"/>
          <w:lang w:bidi="en-US"/>
        </w:rPr>
        <w:t xml:space="preserve">, </w:t>
      </w:r>
      <w:r w:rsidR="00C80E2B">
        <w:rPr>
          <w:sz w:val="22"/>
          <w:lang w:bidi="en-US"/>
        </w:rPr>
        <w:t xml:space="preserve">the specific task of </w:t>
      </w:r>
      <w:r w:rsidR="00C80E2B" w:rsidRPr="00CE0087">
        <w:rPr>
          <w:sz w:val="22"/>
          <w:lang w:bidi="en-US"/>
        </w:rPr>
        <w:t>philosoph</w:t>
      </w:r>
      <w:r w:rsidR="00C80E2B">
        <w:rPr>
          <w:sz w:val="22"/>
          <w:lang w:bidi="en-US"/>
        </w:rPr>
        <w:t>y is to</w:t>
      </w:r>
      <w:r w:rsidR="00C80E2B" w:rsidRPr="00CE0087">
        <w:rPr>
          <w:sz w:val="22"/>
          <w:lang w:bidi="en-US"/>
        </w:rPr>
        <w:t xml:space="preserve"> create concepts. </w:t>
      </w:r>
      <w:proofErr w:type="spellStart"/>
      <w:r w:rsidR="0073161A">
        <w:rPr>
          <w:sz w:val="22"/>
          <w:lang w:bidi="en-US"/>
        </w:rPr>
        <w:t>Deleuze</w:t>
      </w:r>
      <w:proofErr w:type="spellEnd"/>
      <w:r w:rsidR="0073161A">
        <w:rPr>
          <w:sz w:val="22"/>
          <w:lang w:bidi="en-US"/>
        </w:rPr>
        <w:t xml:space="preserve"> writes,  </w:t>
      </w:r>
    </w:p>
    <w:p w14:paraId="3C440835" w14:textId="77777777" w:rsidR="00C80E2B" w:rsidRPr="00CE0087" w:rsidRDefault="00C80E2B" w:rsidP="00F22861">
      <w:pPr>
        <w:jc w:val="both"/>
        <w:rPr>
          <w:sz w:val="22"/>
          <w:lang w:bidi="en-US"/>
        </w:rPr>
      </w:pPr>
    </w:p>
    <w:p w14:paraId="18FBAEF9" w14:textId="7A2F3169" w:rsidR="00C80E2B" w:rsidRPr="00CE0087" w:rsidRDefault="00C80E2B" w:rsidP="00F22861">
      <w:pPr>
        <w:ind w:left="567" w:right="701"/>
        <w:jc w:val="both"/>
        <w:rPr>
          <w:sz w:val="20"/>
        </w:rPr>
      </w:pPr>
      <w:r w:rsidRPr="00CE0087">
        <w:rPr>
          <w:sz w:val="20"/>
        </w:rPr>
        <w:t xml:space="preserve">No one has an idea in general. An idea – like the one who has the idea – is already dedicated to a particular field. Sometimes it is an idea in painting, or an idea in a novel, or an idea in philosophy or an idea in science. </w:t>
      </w:r>
      <w:r w:rsidR="00B26BA4">
        <w:rPr>
          <w:sz w:val="20"/>
        </w:rPr>
        <w:t>[..]</w:t>
      </w:r>
      <w:r w:rsidR="00DE2F50">
        <w:rPr>
          <w:sz w:val="20"/>
        </w:rPr>
        <w:t xml:space="preserve"> </w:t>
      </w:r>
      <w:r w:rsidRPr="00CE0087">
        <w:rPr>
          <w:sz w:val="20"/>
        </w:rPr>
        <w:t xml:space="preserve">Ideas have to be treated like potentials, already </w:t>
      </w:r>
      <w:r w:rsidRPr="00CE0087">
        <w:rPr>
          <w:i/>
          <w:sz w:val="20"/>
        </w:rPr>
        <w:t>engaged</w:t>
      </w:r>
      <w:r w:rsidRPr="00CE0087">
        <w:rPr>
          <w:sz w:val="20"/>
        </w:rPr>
        <w:t xml:space="preserve"> in one mode of expression or another and inseparable from the mode of </w:t>
      </w:r>
      <w:proofErr w:type="gramStart"/>
      <w:r w:rsidRPr="00CE0087">
        <w:rPr>
          <w:sz w:val="20"/>
        </w:rPr>
        <w:t>expression,</w:t>
      </w:r>
      <w:proofErr w:type="gramEnd"/>
      <w:r w:rsidRPr="00CE0087">
        <w:rPr>
          <w:sz w:val="20"/>
        </w:rPr>
        <w:t xml:space="preserve"> such that I cannot say that I have an idea in general.</w:t>
      </w:r>
      <w:r w:rsidR="009B6C2B">
        <w:rPr>
          <w:rStyle w:val="Fodnotehenvisning"/>
          <w:sz w:val="20"/>
        </w:rPr>
        <w:footnoteReference w:id="16"/>
      </w:r>
      <w:r w:rsidRPr="00CE0087">
        <w:rPr>
          <w:sz w:val="20"/>
        </w:rPr>
        <w:t xml:space="preserve"> </w:t>
      </w:r>
    </w:p>
    <w:p w14:paraId="0A745882" w14:textId="77777777" w:rsidR="00C80E2B" w:rsidRPr="00CE0087" w:rsidRDefault="00C80E2B" w:rsidP="00F22861">
      <w:pPr>
        <w:jc w:val="both"/>
        <w:rPr>
          <w:sz w:val="22"/>
        </w:rPr>
      </w:pPr>
    </w:p>
    <w:p w14:paraId="2C7422BC" w14:textId="3FE9C7BA" w:rsidR="00C80E2B" w:rsidRPr="00354012" w:rsidRDefault="00A747DE" w:rsidP="00F22861">
      <w:pPr>
        <w:jc w:val="both"/>
        <w:rPr>
          <w:sz w:val="22"/>
          <w:lang w:val="en-US"/>
        </w:rPr>
      </w:pPr>
      <w:r>
        <w:rPr>
          <w:sz w:val="22"/>
        </w:rPr>
        <w:t>Thinking is material</w:t>
      </w:r>
      <w:r w:rsidR="00E25B16">
        <w:rPr>
          <w:sz w:val="22"/>
        </w:rPr>
        <w:t xml:space="preserve"> not </w:t>
      </w:r>
      <w:r w:rsidR="00C80E2B" w:rsidRPr="00CE0087">
        <w:rPr>
          <w:sz w:val="22"/>
        </w:rPr>
        <w:t>because it needs something to ‘think about’</w:t>
      </w:r>
      <w:r w:rsidR="00E25B16">
        <w:rPr>
          <w:sz w:val="22"/>
        </w:rPr>
        <w:t>,</w:t>
      </w:r>
      <w:r w:rsidR="00C80E2B" w:rsidRPr="00CE0087">
        <w:rPr>
          <w:sz w:val="22"/>
        </w:rPr>
        <w:t xml:space="preserve"> but because as a practice </w:t>
      </w:r>
      <w:r w:rsidR="00E25B16">
        <w:rPr>
          <w:sz w:val="22"/>
        </w:rPr>
        <w:t xml:space="preserve">it </w:t>
      </w:r>
      <w:r w:rsidR="00C80E2B" w:rsidRPr="00CE0087">
        <w:rPr>
          <w:sz w:val="22"/>
        </w:rPr>
        <w:t>is responsive to the different expressive potentials of the matter at hand</w:t>
      </w:r>
      <w:r w:rsidR="00EB1F0F">
        <w:rPr>
          <w:sz w:val="22"/>
        </w:rPr>
        <w:t xml:space="preserve">. </w:t>
      </w:r>
      <w:r w:rsidR="009B6C2B">
        <w:rPr>
          <w:sz w:val="22"/>
        </w:rPr>
        <w:t>If, as J.J. Gibson</w:t>
      </w:r>
      <w:r w:rsidR="009B6C2B">
        <w:rPr>
          <w:rStyle w:val="Fodnotehenvisning"/>
          <w:sz w:val="22"/>
        </w:rPr>
        <w:footnoteReference w:id="17"/>
      </w:r>
      <w:r w:rsidR="0022650B">
        <w:rPr>
          <w:sz w:val="22"/>
        </w:rPr>
        <w:t xml:space="preserve"> </w:t>
      </w:r>
      <w:r w:rsidR="00DA40E3">
        <w:rPr>
          <w:sz w:val="22"/>
        </w:rPr>
        <w:t>suggests</w:t>
      </w:r>
      <w:r w:rsidR="00552FD1">
        <w:rPr>
          <w:sz w:val="22"/>
        </w:rPr>
        <w:t>,</w:t>
      </w:r>
      <w:r w:rsidR="00DA40E3">
        <w:rPr>
          <w:sz w:val="22"/>
        </w:rPr>
        <w:t xml:space="preserve"> we need the ‘education of attention’ in our studies, we</w:t>
      </w:r>
      <w:r w:rsidR="00552FD1">
        <w:rPr>
          <w:sz w:val="22"/>
        </w:rPr>
        <w:t xml:space="preserve"> also</w:t>
      </w:r>
      <w:r w:rsidR="00DA40E3">
        <w:rPr>
          <w:sz w:val="22"/>
        </w:rPr>
        <w:t xml:space="preserve"> need </w:t>
      </w:r>
      <w:r w:rsidR="00A7768B">
        <w:rPr>
          <w:sz w:val="22"/>
        </w:rPr>
        <w:t xml:space="preserve">to </w:t>
      </w:r>
      <w:r w:rsidR="00552FD1">
        <w:rPr>
          <w:sz w:val="22"/>
        </w:rPr>
        <w:t>cultivate the</w:t>
      </w:r>
      <w:r w:rsidR="00DA40E3">
        <w:rPr>
          <w:sz w:val="22"/>
        </w:rPr>
        <w:t xml:space="preserve"> education of the senses that allows </w:t>
      </w:r>
      <w:r w:rsidR="00A7768B">
        <w:rPr>
          <w:sz w:val="22"/>
        </w:rPr>
        <w:t xml:space="preserve">for a deep </w:t>
      </w:r>
      <w:r w:rsidR="00DA40E3">
        <w:rPr>
          <w:sz w:val="22"/>
        </w:rPr>
        <w:t>encounter</w:t>
      </w:r>
      <w:r w:rsidR="00A7768B">
        <w:rPr>
          <w:sz w:val="22"/>
        </w:rPr>
        <w:t xml:space="preserve"> with</w:t>
      </w:r>
      <w:r w:rsidR="00DA40E3">
        <w:rPr>
          <w:sz w:val="22"/>
        </w:rPr>
        <w:t xml:space="preserve"> </w:t>
      </w:r>
      <w:r w:rsidR="00A7768B">
        <w:rPr>
          <w:sz w:val="22"/>
        </w:rPr>
        <w:t>a</w:t>
      </w:r>
      <w:r w:rsidR="00DA40E3">
        <w:rPr>
          <w:sz w:val="22"/>
        </w:rPr>
        <w:t xml:space="preserve"> subject matter, and to</w:t>
      </w:r>
      <w:r w:rsidR="00552FD1">
        <w:rPr>
          <w:sz w:val="22"/>
        </w:rPr>
        <w:t xml:space="preserve"> develop</w:t>
      </w:r>
      <w:r w:rsidR="00DA40E3">
        <w:rPr>
          <w:sz w:val="22"/>
        </w:rPr>
        <w:t xml:space="preserve"> the capacity for expression</w:t>
      </w:r>
      <w:r w:rsidR="00552FD1">
        <w:rPr>
          <w:sz w:val="22"/>
        </w:rPr>
        <w:t xml:space="preserve"> and manifestation</w:t>
      </w:r>
      <w:r w:rsidR="00DA40E3">
        <w:rPr>
          <w:sz w:val="22"/>
        </w:rPr>
        <w:t xml:space="preserve"> </w:t>
      </w:r>
      <w:r w:rsidR="00A7768B">
        <w:rPr>
          <w:sz w:val="22"/>
        </w:rPr>
        <w:t>that communicate</w:t>
      </w:r>
      <w:r w:rsidR="00700CB0">
        <w:rPr>
          <w:sz w:val="22"/>
        </w:rPr>
        <w:t>s</w:t>
      </w:r>
      <w:r w:rsidR="00A7768B">
        <w:rPr>
          <w:sz w:val="22"/>
        </w:rPr>
        <w:t xml:space="preserve"> the sense of </w:t>
      </w:r>
      <w:r w:rsidR="00DA40E3">
        <w:rPr>
          <w:sz w:val="22"/>
        </w:rPr>
        <w:t xml:space="preserve">ideas and discoveries. </w:t>
      </w:r>
      <w:r w:rsidR="00EB1F0F">
        <w:rPr>
          <w:sz w:val="22"/>
        </w:rPr>
        <w:t xml:space="preserve">Subject </w:t>
      </w:r>
      <w:r w:rsidR="00CD65C9">
        <w:rPr>
          <w:sz w:val="22"/>
        </w:rPr>
        <w:t>matter</w:t>
      </w:r>
      <w:r w:rsidR="00EB1F0F">
        <w:rPr>
          <w:sz w:val="22"/>
        </w:rPr>
        <w:t>s have different</w:t>
      </w:r>
      <w:r w:rsidR="00CF0B69">
        <w:rPr>
          <w:sz w:val="22"/>
        </w:rPr>
        <w:t xml:space="preserve"> relational qualities that emerge in encounters of bodies,</w:t>
      </w:r>
      <w:r w:rsidR="00EB1F0F">
        <w:rPr>
          <w:sz w:val="22"/>
        </w:rPr>
        <w:t xml:space="preserve"> things, ideas and organisms</w:t>
      </w:r>
      <w:r w:rsidR="00CF0B69">
        <w:rPr>
          <w:sz w:val="22"/>
        </w:rPr>
        <w:t xml:space="preserve"> and through</w:t>
      </w:r>
      <w:r w:rsidR="00EB1F0F">
        <w:rPr>
          <w:sz w:val="22"/>
        </w:rPr>
        <w:t xml:space="preserve"> such encounters</w:t>
      </w:r>
      <w:r w:rsidR="00CF0B69">
        <w:rPr>
          <w:sz w:val="22"/>
        </w:rPr>
        <w:t xml:space="preserve"> different forms of material thinking</w:t>
      </w:r>
      <w:r w:rsidR="009C1B24">
        <w:rPr>
          <w:sz w:val="22"/>
        </w:rPr>
        <w:t xml:space="preserve"> a</w:t>
      </w:r>
      <w:r w:rsidR="00CF0B69">
        <w:rPr>
          <w:sz w:val="22"/>
        </w:rPr>
        <w:t xml:space="preserve">nd different kinds of ideas </w:t>
      </w:r>
      <w:r w:rsidR="00DA40E3">
        <w:rPr>
          <w:sz w:val="22"/>
        </w:rPr>
        <w:t>come to be</w:t>
      </w:r>
      <w:r w:rsidR="00CF0B69">
        <w:rPr>
          <w:sz w:val="22"/>
        </w:rPr>
        <w:t xml:space="preserve"> worked through and manifested. </w:t>
      </w:r>
      <w:r>
        <w:rPr>
          <w:sz w:val="22"/>
        </w:rPr>
        <w:t xml:space="preserve">Andrei </w:t>
      </w:r>
      <w:proofErr w:type="spellStart"/>
      <w:r>
        <w:rPr>
          <w:sz w:val="22"/>
        </w:rPr>
        <w:t>Tarkovsky</w:t>
      </w:r>
      <w:proofErr w:type="spellEnd"/>
      <w:r w:rsidR="009B6C2B">
        <w:rPr>
          <w:rStyle w:val="Fodnotehenvisning"/>
          <w:sz w:val="22"/>
        </w:rPr>
        <w:footnoteReference w:id="18"/>
      </w:r>
      <w:r w:rsidR="00CF0B69">
        <w:rPr>
          <w:sz w:val="22"/>
        </w:rPr>
        <w:t xml:space="preserve"> once</w:t>
      </w:r>
      <w:r w:rsidR="00C80E2B" w:rsidRPr="00CE0087">
        <w:rPr>
          <w:sz w:val="22"/>
        </w:rPr>
        <w:t xml:space="preserve"> </w:t>
      </w:r>
      <w:r w:rsidR="00CD65C9">
        <w:rPr>
          <w:sz w:val="22"/>
        </w:rPr>
        <w:t xml:space="preserve">suggested that </w:t>
      </w:r>
      <w:r w:rsidR="0073161A">
        <w:rPr>
          <w:sz w:val="22"/>
        </w:rPr>
        <w:t>life’s</w:t>
      </w:r>
      <w:r w:rsidR="00354012">
        <w:rPr>
          <w:sz w:val="22"/>
        </w:rPr>
        <w:t xml:space="preserve"> logic is poetic rather than </w:t>
      </w:r>
      <w:r w:rsidR="0073161A">
        <w:rPr>
          <w:sz w:val="22"/>
        </w:rPr>
        <w:t>scientifi</w:t>
      </w:r>
      <w:r w:rsidR="00CF0B69">
        <w:rPr>
          <w:sz w:val="22"/>
        </w:rPr>
        <w:t>c</w:t>
      </w:r>
      <w:r w:rsidR="00A7768B">
        <w:rPr>
          <w:sz w:val="22"/>
        </w:rPr>
        <w:t>.</w:t>
      </w:r>
      <w:r w:rsidR="00CF0B69">
        <w:rPr>
          <w:sz w:val="22"/>
        </w:rPr>
        <w:t xml:space="preserve"> </w:t>
      </w:r>
      <w:r w:rsidR="00A7768B">
        <w:rPr>
          <w:sz w:val="22"/>
        </w:rPr>
        <w:t>H</w:t>
      </w:r>
      <w:r w:rsidR="00CF0B69">
        <w:rPr>
          <w:sz w:val="22"/>
        </w:rPr>
        <w:t>e hoped</w:t>
      </w:r>
      <w:r w:rsidR="00CD65C9">
        <w:rPr>
          <w:sz w:val="22"/>
        </w:rPr>
        <w:t xml:space="preserve"> that he might communicate</w:t>
      </w:r>
      <w:r w:rsidR="00CF0B69">
        <w:rPr>
          <w:sz w:val="22"/>
        </w:rPr>
        <w:t xml:space="preserve"> through the temporal material of f</w:t>
      </w:r>
      <w:r w:rsidR="007E0253">
        <w:rPr>
          <w:sz w:val="22"/>
        </w:rPr>
        <w:t xml:space="preserve">ilm something of the sensed and </w:t>
      </w:r>
      <w:r w:rsidR="00CF0B69">
        <w:rPr>
          <w:sz w:val="22"/>
        </w:rPr>
        <w:t>felt</w:t>
      </w:r>
      <w:r w:rsidR="00A7768B">
        <w:rPr>
          <w:sz w:val="22"/>
        </w:rPr>
        <w:t xml:space="preserve"> elements of experience</w:t>
      </w:r>
      <w:r w:rsidR="007E0253">
        <w:rPr>
          <w:sz w:val="22"/>
        </w:rPr>
        <w:t xml:space="preserve"> </w:t>
      </w:r>
      <w:r w:rsidR="00DE2F50">
        <w:rPr>
          <w:sz w:val="22"/>
        </w:rPr>
        <w:t xml:space="preserve">undergone through </w:t>
      </w:r>
      <w:r w:rsidR="007E0253">
        <w:rPr>
          <w:sz w:val="22"/>
        </w:rPr>
        <w:t>those subtle shifts that mark changes in perception, affect and perspective</w:t>
      </w:r>
      <w:r w:rsidR="00DE2F50">
        <w:rPr>
          <w:sz w:val="22"/>
        </w:rPr>
        <w:t>:</w:t>
      </w:r>
      <w:r w:rsidR="007E0253">
        <w:rPr>
          <w:sz w:val="22"/>
        </w:rPr>
        <w:t xml:space="preserve"> </w:t>
      </w:r>
      <w:r w:rsidR="00C80E2B" w:rsidRPr="00CE0087">
        <w:rPr>
          <w:sz w:val="22"/>
        </w:rPr>
        <w:t>‘</w:t>
      </w:r>
      <w:r w:rsidR="007E0253">
        <w:rPr>
          <w:sz w:val="22"/>
        </w:rPr>
        <w:t>d</w:t>
      </w:r>
      <w:r w:rsidR="00C80E2B" w:rsidRPr="00CE0087">
        <w:rPr>
          <w:sz w:val="22"/>
        </w:rPr>
        <w:t>ocumentary precision’ and ‘mechanical accuracy’</w:t>
      </w:r>
      <w:r w:rsidR="00CD65C9">
        <w:rPr>
          <w:sz w:val="22"/>
        </w:rPr>
        <w:t>, in his view,</w:t>
      </w:r>
      <w:r w:rsidR="00C80E2B" w:rsidRPr="00CE0087">
        <w:rPr>
          <w:sz w:val="22"/>
        </w:rPr>
        <w:t xml:space="preserve"> </w:t>
      </w:r>
      <w:r w:rsidR="0073161A">
        <w:rPr>
          <w:sz w:val="22"/>
        </w:rPr>
        <w:t xml:space="preserve">bring </w:t>
      </w:r>
      <w:r w:rsidR="00DE2F50">
        <w:rPr>
          <w:sz w:val="22"/>
        </w:rPr>
        <w:t>us</w:t>
      </w:r>
      <w:r w:rsidR="00C80E2B" w:rsidRPr="00CE0087">
        <w:rPr>
          <w:sz w:val="22"/>
        </w:rPr>
        <w:t xml:space="preserve"> no closer to reality</w:t>
      </w:r>
      <w:r w:rsidR="007E0253">
        <w:rPr>
          <w:sz w:val="22"/>
        </w:rPr>
        <w:t>. He</w:t>
      </w:r>
      <w:r w:rsidR="00C80E2B" w:rsidRPr="00CE0087">
        <w:rPr>
          <w:sz w:val="22"/>
        </w:rPr>
        <w:t xml:space="preserve"> elaborates on the careful pro</w:t>
      </w:r>
      <w:r w:rsidR="00354012">
        <w:rPr>
          <w:sz w:val="22"/>
        </w:rPr>
        <w:t>cess involved in making a film, and</w:t>
      </w:r>
      <w:r w:rsidR="0073161A">
        <w:rPr>
          <w:sz w:val="22"/>
        </w:rPr>
        <w:t xml:space="preserve"> the obstacles one faces:</w:t>
      </w:r>
      <w:r w:rsidR="00354012">
        <w:rPr>
          <w:sz w:val="22"/>
        </w:rPr>
        <w:t xml:space="preserve"> </w:t>
      </w:r>
      <w:r w:rsidR="00B35BB8">
        <w:rPr>
          <w:sz w:val="22"/>
        </w:rPr>
        <w:t>“</w:t>
      </w:r>
      <w:r w:rsidR="00354012">
        <w:rPr>
          <w:sz w:val="22"/>
          <w:lang w:val="en-US"/>
        </w:rPr>
        <w:t>[o]</w:t>
      </w:r>
      <w:proofErr w:type="spellStart"/>
      <w:r w:rsidR="00354012" w:rsidRPr="00354012">
        <w:rPr>
          <w:sz w:val="22"/>
          <w:lang w:val="en-US"/>
        </w:rPr>
        <w:t>ften</w:t>
      </w:r>
      <w:proofErr w:type="spellEnd"/>
      <w:r w:rsidR="00354012" w:rsidRPr="00354012">
        <w:rPr>
          <w:sz w:val="22"/>
          <w:lang w:val="en-US"/>
        </w:rPr>
        <w:t xml:space="preserve"> the director himself is so determined to be portentous that he loses all sense of measure and will ignore the true meaning of a human action, turning it into a vessel for the idea he wants to </w:t>
      </w:r>
      <w:proofErr w:type="spellStart"/>
      <w:r w:rsidR="00354012" w:rsidRPr="00354012">
        <w:rPr>
          <w:sz w:val="22"/>
          <w:lang w:val="en-US"/>
        </w:rPr>
        <w:t>emphasise</w:t>
      </w:r>
      <w:proofErr w:type="spellEnd"/>
      <w:r w:rsidR="00354012" w:rsidRPr="00354012">
        <w:rPr>
          <w:sz w:val="22"/>
          <w:lang w:val="en-US"/>
        </w:rPr>
        <w:t>. But one has to observe life at first hand, not to make do with the banalities of a hollow counterfeit constructed for the sake of actin</w:t>
      </w:r>
      <w:r w:rsidR="00354012">
        <w:rPr>
          <w:sz w:val="22"/>
          <w:lang w:val="en-US"/>
        </w:rPr>
        <w:t xml:space="preserve">g and </w:t>
      </w:r>
      <w:r w:rsidR="009B6C2B">
        <w:rPr>
          <w:sz w:val="22"/>
          <w:lang w:val="en-US"/>
        </w:rPr>
        <w:t>of screen expressiveness</w:t>
      </w:r>
      <w:r w:rsidR="00B35BB8">
        <w:rPr>
          <w:sz w:val="22"/>
          <w:lang w:val="en-US"/>
        </w:rPr>
        <w:t>”</w:t>
      </w:r>
      <w:r w:rsidR="009B6C2B">
        <w:rPr>
          <w:rStyle w:val="Fodnotehenvisning"/>
          <w:sz w:val="22"/>
          <w:lang w:val="en-US"/>
        </w:rPr>
        <w:footnoteReference w:id="19"/>
      </w:r>
      <w:r w:rsidR="00354012">
        <w:rPr>
          <w:sz w:val="22"/>
          <w:lang w:val="en-US"/>
        </w:rPr>
        <w:t xml:space="preserve">. </w:t>
      </w:r>
      <w:r w:rsidR="0073161A">
        <w:rPr>
          <w:sz w:val="22"/>
        </w:rPr>
        <w:t>Properly speaking, t</w:t>
      </w:r>
      <w:r w:rsidR="00C80E2B" w:rsidRPr="00CE0087">
        <w:rPr>
          <w:sz w:val="22"/>
        </w:rPr>
        <w:t xml:space="preserve">he technical is itself creative: one </w:t>
      </w:r>
      <w:proofErr w:type="gramStart"/>
      <w:r w:rsidR="00C80E2B" w:rsidRPr="00CE0087">
        <w:rPr>
          <w:sz w:val="22"/>
        </w:rPr>
        <w:t>needs</w:t>
      </w:r>
      <w:proofErr w:type="gramEnd"/>
      <w:r w:rsidR="00C80E2B" w:rsidRPr="00CE0087">
        <w:rPr>
          <w:sz w:val="22"/>
        </w:rPr>
        <w:t xml:space="preserve"> to think about the distance of the camera, the long fixed shot, how one edits the temporalities of the piece, </w:t>
      </w:r>
      <w:r w:rsidR="00C80E2B">
        <w:rPr>
          <w:sz w:val="22"/>
        </w:rPr>
        <w:t xml:space="preserve">whether </w:t>
      </w:r>
      <w:r w:rsidR="00C80E2B" w:rsidRPr="00CE0087">
        <w:rPr>
          <w:sz w:val="22"/>
        </w:rPr>
        <w:t>one allow</w:t>
      </w:r>
      <w:r w:rsidR="00C80E2B">
        <w:rPr>
          <w:sz w:val="22"/>
        </w:rPr>
        <w:t>s</w:t>
      </w:r>
      <w:r w:rsidR="00C80E2B" w:rsidRPr="00CE0087">
        <w:rPr>
          <w:sz w:val="22"/>
        </w:rPr>
        <w:t xml:space="preserve"> the camera to</w:t>
      </w:r>
      <w:r w:rsidR="0073161A">
        <w:rPr>
          <w:sz w:val="22"/>
        </w:rPr>
        <w:t xml:space="preserve"> linger on the face (Bergman), intersperse contemplative scenes</w:t>
      </w:r>
      <w:r w:rsidR="00C80E2B" w:rsidRPr="00CE0087">
        <w:rPr>
          <w:sz w:val="22"/>
        </w:rPr>
        <w:t xml:space="preserve"> of domestic interiors</w:t>
      </w:r>
      <w:r w:rsidR="0073161A">
        <w:rPr>
          <w:sz w:val="22"/>
        </w:rPr>
        <w:t xml:space="preserve"> through the narrative</w:t>
      </w:r>
      <w:r w:rsidR="00C80E2B" w:rsidRPr="00CE0087">
        <w:rPr>
          <w:sz w:val="22"/>
        </w:rPr>
        <w:t xml:space="preserve"> (</w:t>
      </w:r>
      <w:proofErr w:type="spellStart"/>
      <w:r w:rsidR="00C80E2B" w:rsidRPr="00CE0087">
        <w:rPr>
          <w:sz w:val="22"/>
        </w:rPr>
        <w:t>Ozu</w:t>
      </w:r>
      <w:proofErr w:type="spellEnd"/>
      <w:r w:rsidR="00C80E2B" w:rsidRPr="00CE0087">
        <w:rPr>
          <w:sz w:val="22"/>
        </w:rPr>
        <w:t xml:space="preserve">) or film photographs with a voice over (Chris Marker). </w:t>
      </w:r>
      <w:r w:rsidR="0073161A">
        <w:rPr>
          <w:sz w:val="22"/>
        </w:rPr>
        <w:t>Different sensitivities</w:t>
      </w:r>
      <w:r w:rsidR="00C80E2B" w:rsidRPr="00CE0087">
        <w:rPr>
          <w:sz w:val="22"/>
        </w:rPr>
        <w:t xml:space="preserve"> to the matter of film and to film’s </w:t>
      </w:r>
      <w:r w:rsidR="005167FF">
        <w:rPr>
          <w:sz w:val="22"/>
        </w:rPr>
        <w:t>potentials</w:t>
      </w:r>
      <w:r w:rsidR="00C80E2B" w:rsidRPr="00CE0087">
        <w:rPr>
          <w:sz w:val="22"/>
        </w:rPr>
        <w:t xml:space="preserve"> as a medium allow</w:t>
      </w:r>
      <w:r w:rsidR="00C80E2B">
        <w:rPr>
          <w:sz w:val="22"/>
        </w:rPr>
        <w:t>s</w:t>
      </w:r>
      <w:r w:rsidR="005167FF">
        <w:rPr>
          <w:sz w:val="22"/>
        </w:rPr>
        <w:t xml:space="preserve"> the director to develop his or her own</w:t>
      </w:r>
      <w:r w:rsidR="00C80E2B" w:rsidRPr="00CE0087">
        <w:rPr>
          <w:sz w:val="22"/>
        </w:rPr>
        <w:t xml:space="preserve"> individuality </w:t>
      </w:r>
      <w:r w:rsidR="0053075A">
        <w:rPr>
          <w:sz w:val="22"/>
        </w:rPr>
        <w:t xml:space="preserve">and style </w:t>
      </w:r>
      <w:r w:rsidR="00C80E2B" w:rsidRPr="00CE0087">
        <w:rPr>
          <w:sz w:val="22"/>
        </w:rPr>
        <w:t>of expression</w:t>
      </w:r>
      <w:r w:rsidR="00337B31">
        <w:rPr>
          <w:sz w:val="22"/>
        </w:rPr>
        <w:t xml:space="preserve">, </w:t>
      </w:r>
      <w:r w:rsidR="0053075A">
        <w:rPr>
          <w:sz w:val="22"/>
        </w:rPr>
        <w:t xml:space="preserve">thought, </w:t>
      </w:r>
      <w:r w:rsidR="00337B31">
        <w:rPr>
          <w:sz w:val="22"/>
        </w:rPr>
        <w:t>temporality, materiality,</w:t>
      </w:r>
      <w:r w:rsidR="0073161A">
        <w:rPr>
          <w:sz w:val="22"/>
        </w:rPr>
        <w:t xml:space="preserve"> and sensibility</w:t>
      </w:r>
      <w:r w:rsidR="00337B31">
        <w:rPr>
          <w:sz w:val="22"/>
        </w:rPr>
        <w:t>. Likewise, there are many diverse f</w:t>
      </w:r>
      <w:r w:rsidR="00C80E2B" w:rsidRPr="00CE0087">
        <w:rPr>
          <w:sz w:val="22"/>
        </w:rPr>
        <w:t xml:space="preserve">orms of expression in poetry and literature – </w:t>
      </w:r>
      <w:r w:rsidR="0053075A">
        <w:rPr>
          <w:sz w:val="22"/>
        </w:rPr>
        <w:t>it makes a difference</w:t>
      </w:r>
      <w:r w:rsidR="00C80E2B" w:rsidRPr="00CE0087">
        <w:rPr>
          <w:sz w:val="22"/>
        </w:rPr>
        <w:t xml:space="preserve"> when </w:t>
      </w:r>
      <w:r w:rsidR="0053075A">
        <w:rPr>
          <w:sz w:val="22"/>
        </w:rPr>
        <w:t>a</w:t>
      </w:r>
      <w:r w:rsidR="0053075A" w:rsidRPr="00CE0087">
        <w:rPr>
          <w:sz w:val="22"/>
        </w:rPr>
        <w:t xml:space="preserve"> </w:t>
      </w:r>
      <w:r w:rsidR="00C80E2B" w:rsidRPr="00CE0087">
        <w:rPr>
          <w:sz w:val="22"/>
        </w:rPr>
        <w:t>line runs into another stanza rather</w:t>
      </w:r>
      <w:r w:rsidR="00032E86">
        <w:rPr>
          <w:sz w:val="22"/>
        </w:rPr>
        <w:t xml:space="preserve"> than </w:t>
      </w:r>
      <w:r w:rsidR="00C80E2B" w:rsidRPr="00CE0087">
        <w:rPr>
          <w:sz w:val="22"/>
        </w:rPr>
        <w:t xml:space="preserve">retaining a sense of autonomy within a given verse, </w:t>
      </w:r>
      <w:r w:rsidR="00337B31">
        <w:rPr>
          <w:sz w:val="22"/>
        </w:rPr>
        <w:t xml:space="preserve">and </w:t>
      </w:r>
      <w:r w:rsidR="0053075A">
        <w:rPr>
          <w:sz w:val="22"/>
        </w:rPr>
        <w:t>or</w:t>
      </w:r>
      <w:r w:rsidR="00C80E2B" w:rsidRPr="00CE0087">
        <w:rPr>
          <w:sz w:val="22"/>
        </w:rPr>
        <w:t xml:space="preserve"> one uses ellipses</w:t>
      </w:r>
      <w:r w:rsidR="00032E86">
        <w:rPr>
          <w:sz w:val="22"/>
        </w:rPr>
        <w:t>,</w:t>
      </w:r>
      <w:r w:rsidR="00C80E2B" w:rsidRPr="00CE0087">
        <w:rPr>
          <w:sz w:val="22"/>
        </w:rPr>
        <w:t xml:space="preserve"> or plays with synta</w:t>
      </w:r>
      <w:r w:rsidR="00337B31">
        <w:rPr>
          <w:sz w:val="22"/>
        </w:rPr>
        <w:t xml:space="preserve">x, as in the work of Beckett in </w:t>
      </w:r>
      <w:r w:rsidR="00337B31">
        <w:rPr>
          <w:i/>
          <w:sz w:val="22"/>
        </w:rPr>
        <w:t>Ill Seen, Ill Said</w:t>
      </w:r>
      <w:r w:rsidR="009B6C2B">
        <w:rPr>
          <w:rStyle w:val="Fodnotehenvisning"/>
          <w:i/>
          <w:sz w:val="22"/>
        </w:rPr>
        <w:footnoteReference w:id="20"/>
      </w:r>
      <w:r w:rsidR="00337B31">
        <w:rPr>
          <w:sz w:val="22"/>
        </w:rPr>
        <w:t xml:space="preserve">. </w:t>
      </w:r>
      <w:r w:rsidR="00B35BB8">
        <w:rPr>
          <w:sz w:val="22"/>
        </w:rPr>
        <w:t>“</w:t>
      </w:r>
      <w:r w:rsidR="00337B31" w:rsidRPr="00337B31">
        <w:rPr>
          <w:sz w:val="22"/>
        </w:rPr>
        <w:t xml:space="preserve">From where she lies she sees Venus rise. </w:t>
      </w:r>
      <w:proofErr w:type="gramStart"/>
      <w:r w:rsidR="00337B31" w:rsidRPr="00337B31">
        <w:rPr>
          <w:sz w:val="22"/>
        </w:rPr>
        <w:t>On.</w:t>
      </w:r>
      <w:proofErr w:type="gramEnd"/>
      <w:r w:rsidR="00337B31" w:rsidRPr="00337B31">
        <w:rPr>
          <w:sz w:val="22"/>
        </w:rPr>
        <w:t xml:space="preserve"> From where she lies when the skies are clear she sees Venus rise followed by the sun. Then she rails at the source of all life. On.</w:t>
      </w:r>
      <w:r w:rsidR="00B35BB8">
        <w:rPr>
          <w:sz w:val="22"/>
        </w:rPr>
        <w:t>”</w:t>
      </w:r>
      <w:r w:rsidR="009B6C2B">
        <w:rPr>
          <w:rStyle w:val="Fodnotehenvisning"/>
          <w:sz w:val="22"/>
        </w:rPr>
        <w:footnoteReference w:id="21"/>
      </w:r>
      <w:r w:rsidR="009B6C2B">
        <w:rPr>
          <w:sz w:val="22"/>
        </w:rPr>
        <w:t xml:space="preserve"> </w:t>
      </w:r>
      <w:r w:rsidR="0053075A">
        <w:rPr>
          <w:sz w:val="22"/>
        </w:rPr>
        <w:t xml:space="preserve">The possibilities are many. We could </w:t>
      </w:r>
      <w:r w:rsidR="00337B31">
        <w:rPr>
          <w:sz w:val="22"/>
        </w:rPr>
        <w:t xml:space="preserve">investigate the manifestations of the historical, the encounter with the archive, </w:t>
      </w:r>
      <w:r w:rsidR="0053075A">
        <w:rPr>
          <w:sz w:val="22"/>
        </w:rPr>
        <w:t xml:space="preserve">fossils, </w:t>
      </w:r>
      <w:r w:rsidR="00337B31">
        <w:rPr>
          <w:sz w:val="22"/>
        </w:rPr>
        <w:t>the conversation, the remnant,</w:t>
      </w:r>
      <w:r w:rsidR="00552FD1">
        <w:rPr>
          <w:sz w:val="22"/>
        </w:rPr>
        <w:t xml:space="preserve"> the coder,</w:t>
      </w:r>
      <w:r w:rsidR="00337B31">
        <w:rPr>
          <w:sz w:val="22"/>
        </w:rPr>
        <w:t xml:space="preserve"> or oral histories with living beings that</w:t>
      </w:r>
      <w:r w:rsidR="00C80E2B" w:rsidRPr="00CE0087">
        <w:rPr>
          <w:sz w:val="22"/>
        </w:rPr>
        <w:t xml:space="preserve"> </w:t>
      </w:r>
      <w:r w:rsidR="00337B31">
        <w:rPr>
          <w:sz w:val="22"/>
        </w:rPr>
        <w:t xml:space="preserve">involve attentiveness to the stories of </w:t>
      </w:r>
      <w:r w:rsidR="00C80E2B" w:rsidRPr="00CE0087">
        <w:rPr>
          <w:sz w:val="22"/>
        </w:rPr>
        <w:t xml:space="preserve">everyday life rather than monumental events. </w:t>
      </w:r>
    </w:p>
    <w:p w14:paraId="7E653FEA" w14:textId="77777777" w:rsidR="00C80E2B" w:rsidRPr="00CE0087" w:rsidRDefault="00C80E2B" w:rsidP="00F22861">
      <w:pPr>
        <w:jc w:val="both"/>
        <w:rPr>
          <w:sz w:val="22"/>
        </w:rPr>
      </w:pPr>
    </w:p>
    <w:p w14:paraId="30232667" w14:textId="77E9693A" w:rsidR="002C367D" w:rsidRPr="00F22861" w:rsidRDefault="00337B31" w:rsidP="00F22861">
      <w:pPr>
        <w:widowControl w:val="0"/>
        <w:autoSpaceDE w:val="0"/>
        <w:autoSpaceDN w:val="0"/>
        <w:adjustRightInd w:val="0"/>
        <w:spacing w:after="240"/>
        <w:jc w:val="both"/>
        <w:rPr>
          <w:rFonts w:ascii="Times" w:hAnsi="Times" w:cs="Times"/>
          <w:sz w:val="22"/>
          <w:szCs w:val="22"/>
          <w:lang w:val="en-US"/>
        </w:rPr>
      </w:pPr>
      <w:r>
        <w:rPr>
          <w:sz w:val="22"/>
        </w:rPr>
        <w:t>Careful listening r</w:t>
      </w:r>
      <w:r w:rsidR="00C80E2B" w:rsidRPr="00CE0087">
        <w:rPr>
          <w:sz w:val="22"/>
        </w:rPr>
        <w:t>esponsiveness to</w:t>
      </w:r>
      <w:r>
        <w:rPr>
          <w:sz w:val="22"/>
        </w:rPr>
        <w:t xml:space="preserve"> the (subject) matter before</w:t>
      </w:r>
      <w:r w:rsidR="005C4255">
        <w:rPr>
          <w:sz w:val="22"/>
        </w:rPr>
        <w:t xml:space="preserve"> each of</w:t>
      </w:r>
      <w:r>
        <w:rPr>
          <w:sz w:val="22"/>
        </w:rPr>
        <w:t xml:space="preserve"> us </w:t>
      </w:r>
      <w:r w:rsidR="005A771B">
        <w:rPr>
          <w:sz w:val="22"/>
        </w:rPr>
        <w:t xml:space="preserve">invites </w:t>
      </w:r>
      <w:r w:rsidR="0053075A">
        <w:rPr>
          <w:sz w:val="22"/>
        </w:rPr>
        <w:t>new</w:t>
      </w:r>
      <w:r w:rsidR="00C80E2B" w:rsidRPr="00CE0087">
        <w:rPr>
          <w:sz w:val="22"/>
        </w:rPr>
        <w:t xml:space="preserve"> lines of e</w:t>
      </w:r>
      <w:r w:rsidR="00E25B16">
        <w:rPr>
          <w:sz w:val="22"/>
        </w:rPr>
        <w:t>nquiry</w:t>
      </w:r>
      <w:r w:rsidR="0053075A">
        <w:rPr>
          <w:sz w:val="22"/>
        </w:rPr>
        <w:t xml:space="preserve"> and displaces the centrality of the</w:t>
      </w:r>
      <w:r w:rsidR="0022650B">
        <w:rPr>
          <w:sz w:val="22"/>
        </w:rPr>
        <w:t xml:space="preserve"> human in </w:t>
      </w:r>
      <w:r w:rsidR="00552FD1">
        <w:rPr>
          <w:sz w:val="22"/>
        </w:rPr>
        <w:t>an</w:t>
      </w:r>
      <w:r w:rsidR="0053075A">
        <w:rPr>
          <w:sz w:val="22"/>
        </w:rPr>
        <w:t xml:space="preserve"> </w:t>
      </w:r>
      <w:r w:rsidR="006F488A">
        <w:rPr>
          <w:sz w:val="22"/>
        </w:rPr>
        <w:t xml:space="preserve">ongoing </w:t>
      </w:r>
      <w:r w:rsidR="0053075A">
        <w:rPr>
          <w:sz w:val="22"/>
        </w:rPr>
        <w:t>enquiry</w:t>
      </w:r>
      <w:r w:rsidR="006F488A">
        <w:rPr>
          <w:sz w:val="22"/>
        </w:rPr>
        <w:t xml:space="preserve"> </w:t>
      </w:r>
      <w:r w:rsidR="0022650B">
        <w:rPr>
          <w:sz w:val="22"/>
        </w:rPr>
        <w:t xml:space="preserve">that is </w:t>
      </w:r>
      <w:r w:rsidR="0053075A">
        <w:rPr>
          <w:sz w:val="22"/>
        </w:rPr>
        <w:t>at the heart of the enterprise of knowing, thinking and understanding</w:t>
      </w:r>
      <w:r w:rsidR="00E25B16">
        <w:rPr>
          <w:sz w:val="22"/>
        </w:rPr>
        <w:t>.</w:t>
      </w:r>
      <w:r w:rsidR="002C367D">
        <w:rPr>
          <w:sz w:val="22"/>
        </w:rPr>
        <w:t xml:space="preserve"> </w:t>
      </w:r>
      <w:r w:rsidR="006F488A">
        <w:rPr>
          <w:sz w:val="22"/>
        </w:rPr>
        <w:t xml:space="preserve">This is what education should teach us. </w:t>
      </w:r>
      <w:r w:rsidR="002C367D">
        <w:rPr>
          <w:sz w:val="22"/>
        </w:rPr>
        <w:t xml:space="preserve">Tim </w:t>
      </w:r>
      <w:proofErr w:type="spellStart"/>
      <w:r w:rsidR="002C367D">
        <w:rPr>
          <w:sz w:val="22"/>
        </w:rPr>
        <w:t>Ingold</w:t>
      </w:r>
      <w:proofErr w:type="spellEnd"/>
      <w:r w:rsidR="002C367D">
        <w:rPr>
          <w:sz w:val="22"/>
        </w:rPr>
        <w:t xml:space="preserve"> </w:t>
      </w:r>
      <w:r w:rsidR="002C367D" w:rsidRPr="002C367D">
        <w:rPr>
          <w:sz w:val="22"/>
          <w:szCs w:val="22"/>
        </w:rPr>
        <w:t xml:space="preserve">writes that </w:t>
      </w:r>
      <w:r w:rsidR="00B35BB8">
        <w:rPr>
          <w:rFonts w:ascii="Times" w:hAnsi="Times" w:cs="Times"/>
          <w:sz w:val="22"/>
          <w:szCs w:val="22"/>
          <w:lang w:val="en-US"/>
        </w:rPr>
        <w:t>“</w:t>
      </w:r>
      <w:r w:rsidR="002C367D">
        <w:rPr>
          <w:rFonts w:ascii="Times" w:hAnsi="Times" w:cs="Times"/>
          <w:sz w:val="22"/>
          <w:szCs w:val="22"/>
          <w:lang w:val="en-US"/>
        </w:rPr>
        <w:t>[</w:t>
      </w:r>
      <w:proofErr w:type="gramStart"/>
      <w:r w:rsidR="002C367D">
        <w:rPr>
          <w:rFonts w:ascii="Times" w:hAnsi="Times" w:cs="Times"/>
          <w:sz w:val="22"/>
          <w:szCs w:val="22"/>
          <w:lang w:val="en-US"/>
        </w:rPr>
        <w:t>..]</w:t>
      </w:r>
      <w:proofErr w:type="gramEnd"/>
      <w:r w:rsidR="002C367D" w:rsidRPr="00F22861">
        <w:rPr>
          <w:rFonts w:ascii="Times" w:hAnsi="Times" w:cs="Times"/>
          <w:sz w:val="22"/>
          <w:szCs w:val="22"/>
          <w:lang w:val="en-US"/>
        </w:rPr>
        <w:t xml:space="preserve"> it is a fallacy—and one that is found very frequently in archaeological writing— to suppose that objects are ever finished in this sense. For one thing, their forms are not imposed by the mind, but arise within the movement of the artisan’s</w:t>
      </w:r>
      <w:r w:rsidR="002C367D" w:rsidRPr="002C367D">
        <w:rPr>
          <w:rFonts w:ascii="Times" w:hAnsi="Times" w:cs="Times"/>
          <w:sz w:val="22"/>
          <w:szCs w:val="22"/>
          <w:lang w:val="en-US"/>
        </w:rPr>
        <w:t xml:space="preserve"> engagement with the material; </w:t>
      </w:r>
      <w:r w:rsidR="002C367D" w:rsidRPr="00F22861">
        <w:rPr>
          <w:rFonts w:ascii="Times" w:hAnsi="Times" w:cs="Times"/>
          <w:sz w:val="22"/>
          <w:szCs w:val="22"/>
          <w:lang w:val="en-US"/>
        </w:rPr>
        <w:t xml:space="preserve">another, in the course of being used for one purpose, objects may undergo further modification that make </w:t>
      </w:r>
      <w:r w:rsidR="002C367D" w:rsidRPr="002C367D">
        <w:rPr>
          <w:rFonts w:ascii="Times" w:hAnsi="Times" w:cs="Times"/>
          <w:sz w:val="22"/>
          <w:szCs w:val="22"/>
          <w:lang w:val="en-US"/>
        </w:rPr>
        <w:t>them peculiarly apt for another</w:t>
      </w:r>
      <w:r w:rsidR="00B35BB8">
        <w:rPr>
          <w:rFonts w:ascii="Times" w:hAnsi="Times" w:cs="Times"/>
          <w:sz w:val="22"/>
          <w:szCs w:val="22"/>
          <w:lang w:val="en-US"/>
        </w:rPr>
        <w:t>”</w:t>
      </w:r>
      <w:r w:rsidR="0025742D">
        <w:rPr>
          <w:rStyle w:val="Fodnotehenvisning"/>
          <w:rFonts w:ascii="Times" w:hAnsi="Times" w:cs="Times"/>
          <w:sz w:val="22"/>
          <w:szCs w:val="22"/>
          <w:lang w:val="en-US"/>
        </w:rPr>
        <w:footnoteReference w:id="22"/>
      </w:r>
      <w:r w:rsidR="0025742D">
        <w:rPr>
          <w:rFonts w:ascii="Times" w:hAnsi="Times" w:cs="Times"/>
          <w:sz w:val="22"/>
          <w:szCs w:val="22"/>
          <w:lang w:val="en-US"/>
        </w:rPr>
        <w:t xml:space="preserve"> </w:t>
      </w:r>
      <w:r w:rsidR="002C367D">
        <w:rPr>
          <w:rFonts w:ascii="Times" w:hAnsi="Times" w:cs="Times"/>
          <w:sz w:val="22"/>
          <w:szCs w:val="22"/>
          <w:lang w:val="en-US"/>
        </w:rPr>
        <w:t>He suggests that like humans, objects have histories, and that we ought to acknowledge rather better the ways in which relationships</w:t>
      </w:r>
      <w:r w:rsidR="002928A5">
        <w:rPr>
          <w:rFonts w:ascii="Times" w:hAnsi="Times" w:cs="Times"/>
          <w:sz w:val="22"/>
          <w:szCs w:val="22"/>
          <w:lang w:val="en-US"/>
        </w:rPr>
        <w:t xml:space="preserve"> and practical engagement</w:t>
      </w:r>
      <w:r w:rsidR="002C367D">
        <w:rPr>
          <w:rFonts w:ascii="Times" w:hAnsi="Times" w:cs="Times"/>
          <w:sz w:val="22"/>
          <w:szCs w:val="22"/>
          <w:lang w:val="en-US"/>
        </w:rPr>
        <w:t xml:space="preserve"> with </w:t>
      </w:r>
      <w:r w:rsidR="002928A5">
        <w:rPr>
          <w:rFonts w:ascii="Times" w:hAnsi="Times" w:cs="Times"/>
          <w:sz w:val="22"/>
          <w:szCs w:val="22"/>
          <w:lang w:val="en-US"/>
        </w:rPr>
        <w:t>one’s surroundings are formative and constitutive. A ‘blueprint’ model of design</w:t>
      </w:r>
      <w:r w:rsidR="00DE2F50">
        <w:rPr>
          <w:rFonts w:ascii="Times" w:hAnsi="Times" w:cs="Times"/>
          <w:sz w:val="22"/>
          <w:szCs w:val="22"/>
          <w:lang w:val="en-US"/>
        </w:rPr>
        <w:t>,</w:t>
      </w:r>
      <w:r w:rsidR="002928A5">
        <w:rPr>
          <w:rFonts w:ascii="Times" w:hAnsi="Times" w:cs="Times"/>
          <w:sz w:val="22"/>
          <w:szCs w:val="22"/>
          <w:lang w:val="en-US"/>
        </w:rPr>
        <w:t xml:space="preserve"> by which an author or maker has an </w:t>
      </w:r>
      <w:r w:rsidR="00552FD1">
        <w:rPr>
          <w:rFonts w:ascii="Times" w:hAnsi="Times" w:cs="Times"/>
          <w:sz w:val="22"/>
          <w:szCs w:val="22"/>
          <w:lang w:val="en-US"/>
        </w:rPr>
        <w:t xml:space="preserve">idea which then he or she </w:t>
      </w:r>
      <w:proofErr w:type="spellStart"/>
      <w:r w:rsidR="00552FD1">
        <w:rPr>
          <w:rFonts w:ascii="Times" w:hAnsi="Times" w:cs="Times"/>
          <w:sz w:val="22"/>
          <w:szCs w:val="22"/>
          <w:lang w:val="en-US"/>
        </w:rPr>
        <w:t>realis</w:t>
      </w:r>
      <w:r w:rsidR="002928A5">
        <w:rPr>
          <w:rFonts w:ascii="Times" w:hAnsi="Times" w:cs="Times"/>
          <w:sz w:val="22"/>
          <w:szCs w:val="22"/>
          <w:lang w:val="en-US"/>
        </w:rPr>
        <w:t>es</w:t>
      </w:r>
      <w:proofErr w:type="spellEnd"/>
      <w:r w:rsidR="00DE2F50">
        <w:rPr>
          <w:rFonts w:ascii="Times" w:hAnsi="Times" w:cs="Times"/>
          <w:sz w:val="22"/>
          <w:szCs w:val="22"/>
          <w:lang w:val="en-US"/>
        </w:rPr>
        <w:t>,</w:t>
      </w:r>
      <w:r w:rsidR="002928A5">
        <w:rPr>
          <w:rFonts w:ascii="Times" w:hAnsi="Times" w:cs="Times"/>
          <w:sz w:val="22"/>
          <w:szCs w:val="22"/>
          <w:lang w:val="en-US"/>
        </w:rPr>
        <w:t xml:space="preserve"> fails to comprehend the ways in which people </w:t>
      </w:r>
      <w:r w:rsidR="00552FD1">
        <w:rPr>
          <w:rFonts w:ascii="Times" w:hAnsi="Times" w:cs="Times"/>
          <w:sz w:val="22"/>
          <w:szCs w:val="22"/>
          <w:lang w:val="en-US"/>
        </w:rPr>
        <w:t>both wrestle with their subject matter and do not know how those</w:t>
      </w:r>
      <w:r w:rsidR="002928A5">
        <w:rPr>
          <w:rFonts w:ascii="Times" w:hAnsi="Times" w:cs="Times"/>
          <w:sz w:val="22"/>
          <w:szCs w:val="22"/>
          <w:lang w:val="en-US"/>
        </w:rPr>
        <w:t xml:space="preserve"> engagements </w:t>
      </w:r>
      <w:r w:rsidR="00552FD1">
        <w:rPr>
          <w:rFonts w:ascii="Times" w:hAnsi="Times" w:cs="Times"/>
          <w:sz w:val="22"/>
          <w:szCs w:val="22"/>
          <w:lang w:val="en-US"/>
        </w:rPr>
        <w:t xml:space="preserve">and tussles </w:t>
      </w:r>
      <w:r w:rsidR="002928A5">
        <w:rPr>
          <w:rFonts w:ascii="Times" w:hAnsi="Times" w:cs="Times"/>
          <w:sz w:val="22"/>
          <w:szCs w:val="22"/>
          <w:lang w:val="en-US"/>
        </w:rPr>
        <w:t xml:space="preserve">will end. </w:t>
      </w:r>
      <w:proofErr w:type="spellStart"/>
      <w:r w:rsidR="0022650B">
        <w:rPr>
          <w:rFonts w:ascii="Times" w:hAnsi="Times" w:cs="Times"/>
          <w:sz w:val="22"/>
          <w:szCs w:val="22"/>
          <w:lang w:val="en-US"/>
        </w:rPr>
        <w:t>Ingold</w:t>
      </w:r>
      <w:proofErr w:type="spellEnd"/>
      <w:r w:rsidR="0022650B">
        <w:rPr>
          <w:rFonts w:ascii="Times" w:hAnsi="Times" w:cs="Times"/>
          <w:sz w:val="22"/>
          <w:szCs w:val="22"/>
          <w:lang w:val="en-US"/>
        </w:rPr>
        <w:t xml:space="preserve"> </w:t>
      </w:r>
      <w:r w:rsidR="005126D8">
        <w:rPr>
          <w:rFonts w:ascii="Times" w:hAnsi="Times" w:cs="Times"/>
          <w:sz w:val="22"/>
          <w:szCs w:val="22"/>
          <w:lang w:val="en-US"/>
        </w:rPr>
        <w:t>describes the way in which learning occurs as alternately gu</w:t>
      </w:r>
      <w:r w:rsidR="0053075A">
        <w:rPr>
          <w:rFonts w:ascii="Times" w:hAnsi="Times" w:cs="Times"/>
          <w:sz w:val="22"/>
          <w:szCs w:val="22"/>
          <w:lang w:val="en-US"/>
        </w:rPr>
        <w:t>ided rediscovery, showing, and the education of attention</w:t>
      </w:r>
      <w:r w:rsidR="006F488A">
        <w:rPr>
          <w:rFonts w:ascii="Times" w:hAnsi="Times" w:cs="Times"/>
          <w:sz w:val="22"/>
          <w:szCs w:val="22"/>
          <w:lang w:val="en-US"/>
        </w:rPr>
        <w:t>. He</w:t>
      </w:r>
      <w:r w:rsidR="0053075A">
        <w:rPr>
          <w:rFonts w:ascii="Times" w:hAnsi="Times" w:cs="Times"/>
          <w:sz w:val="22"/>
          <w:szCs w:val="22"/>
          <w:lang w:val="en-US"/>
        </w:rPr>
        <w:t xml:space="preserve"> reminds us that observation need not be that of the distanced spectator but </w:t>
      </w:r>
      <w:r w:rsidR="00B35BB8">
        <w:rPr>
          <w:rFonts w:ascii="Times" w:hAnsi="Times" w:cs="Times"/>
          <w:sz w:val="22"/>
          <w:szCs w:val="22"/>
          <w:lang w:val="en-US"/>
        </w:rPr>
        <w:t>“</w:t>
      </w:r>
      <w:r w:rsidR="0053075A">
        <w:rPr>
          <w:rFonts w:ascii="Times" w:hAnsi="Times" w:cs="Times"/>
          <w:sz w:val="22"/>
          <w:szCs w:val="22"/>
          <w:lang w:val="en-US"/>
        </w:rPr>
        <w:t>requires the observer to place himself or herself, in person, in a relation of active, perceptual engagement with the object of attention [</w:t>
      </w:r>
      <w:proofErr w:type="gramStart"/>
      <w:r w:rsidR="0053075A">
        <w:rPr>
          <w:rFonts w:ascii="Times" w:hAnsi="Times" w:cs="Times"/>
          <w:sz w:val="22"/>
          <w:szCs w:val="22"/>
          <w:lang w:val="en-US"/>
        </w:rPr>
        <w:t>..]</w:t>
      </w:r>
      <w:proofErr w:type="gramEnd"/>
      <w:r w:rsidR="0053075A">
        <w:rPr>
          <w:rFonts w:ascii="Times" w:hAnsi="Times" w:cs="Times"/>
          <w:sz w:val="22"/>
          <w:szCs w:val="22"/>
          <w:lang w:val="en-US"/>
        </w:rPr>
        <w:t xml:space="preserve"> There can be no observation without participation, no explanation without interpretation, no science without engagement</w:t>
      </w:r>
      <w:r w:rsidR="00B35BB8">
        <w:rPr>
          <w:rFonts w:ascii="Times" w:hAnsi="Times" w:cs="Times"/>
          <w:sz w:val="22"/>
          <w:szCs w:val="22"/>
          <w:lang w:val="en-US"/>
        </w:rPr>
        <w:t>”</w:t>
      </w:r>
      <w:r w:rsidR="0053075A" w:rsidRPr="00FF1AD6">
        <w:rPr>
          <w:rFonts w:ascii="Times" w:hAnsi="Times" w:cs="Times"/>
          <w:sz w:val="22"/>
          <w:szCs w:val="22"/>
          <w:lang w:val="en-US"/>
        </w:rPr>
        <w:t>.</w:t>
      </w:r>
      <w:r w:rsidR="009B6C2B" w:rsidRPr="00FF1AD6">
        <w:rPr>
          <w:rStyle w:val="Fodnotehenvisning"/>
          <w:rFonts w:ascii="Times" w:hAnsi="Times" w:cs="Times"/>
          <w:sz w:val="22"/>
          <w:szCs w:val="22"/>
          <w:lang w:val="en-US"/>
        </w:rPr>
        <w:footnoteReference w:id="23"/>
      </w:r>
      <w:r w:rsidR="005126D8">
        <w:rPr>
          <w:rFonts w:ascii="Times" w:hAnsi="Times" w:cs="Times"/>
          <w:sz w:val="22"/>
          <w:szCs w:val="22"/>
          <w:lang w:val="en-US"/>
        </w:rPr>
        <w:t xml:space="preserve"> </w:t>
      </w:r>
    </w:p>
    <w:p w14:paraId="3DE3DB4A" w14:textId="5C2E3266" w:rsidR="0053075A" w:rsidRPr="00F22861" w:rsidRDefault="0053075A" w:rsidP="00B35BB8">
      <w:pPr>
        <w:jc w:val="both"/>
        <w:outlineLvl w:val="0"/>
        <w:rPr>
          <w:b/>
          <w:sz w:val="22"/>
        </w:rPr>
      </w:pPr>
      <w:r>
        <w:rPr>
          <w:b/>
          <w:sz w:val="22"/>
        </w:rPr>
        <w:t>APPRENTICESHIPS IN THINKING</w:t>
      </w:r>
    </w:p>
    <w:p w14:paraId="69606AD1" w14:textId="77777777" w:rsidR="0053075A" w:rsidRDefault="0053075A" w:rsidP="00F22861">
      <w:pPr>
        <w:jc w:val="both"/>
        <w:rPr>
          <w:sz w:val="22"/>
        </w:rPr>
      </w:pPr>
    </w:p>
    <w:p w14:paraId="0D51E800" w14:textId="6257A12A" w:rsidR="00C80E2B" w:rsidRPr="00CE0087" w:rsidRDefault="00E25B16" w:rsidP="00F22861">
      <w:pPr>
        <w:jc w:val="both"/>
        <w:rPr>
          <w:sz w:val="22"/>
        </w:rPr>
      </w:pPr>
      <w:r>
        <w:rPr>
          <w:sz w:val="22"/>
        </w:rPr>
        <w:t>Practice</w:t>
      </w:r>
      <w:r w:rsidR="00337B31">
        <w:rPr>
          <w:sz w:val="22"/>
        </w:rPr>
        <w:t>s of thinking in different fields involve</w:t>
      </w:r>
      <w:r w:rsidR="00552FD1">
        <w:rPr>
          <w:sz w:val="22"/>
        </w:rPr>
        <w:t xml:space="preserve"> </w:t>
      </w:r>
      <w:r w:rsidR="00337B31">
        <w:rPr>
          <w:sz w:val="22"/>
        </w:rPr>
        <w:t xml:space="preserve">acts </w:t>
      </w:r>
      <w:r w:rsidR="00C80E2B" w:rsidRPr="00CE0087">
        <w:rPr>
          <w:sz w:val="22"/>
        </w:rPr>
        <w:t xml:space="preserve">of </w:t>
      </w:r>
      <w:r w:rsidR="00337B31">
        <w:rPr>
          <w:sz w:val="22"/>
        </w:rPr>
        <w:t xml:space="preserve">both </w:t>
      </w:r>
      <w:r w:rsidR="00C80E2B" w:rsidRPr="00CE0087">
        <w:rPr>
          <w:sz w:val="22"/>
        </w:rPr>
        <w:t>discovery and creation</w:t>
      </w:r>
      <w:r w:rsidR="00552FD1">
        <w:rPr>
          <w:sz w:val="22"/>
        </w:rPr>
        <w:t xml:space="preserve">. </w:t>
      </w:r>
      <w:r w:rsidR="000F4DE0">
        <w:rPr>
          <w:sz w:val="22"/>
        </w:rPr>
        <w:t>Philosophers like</w:t>
      </w:r>
      <w:r w:rsidR="00A14171">
        <w:rPr>
          <w:sz w:val="22"/>
        </w:rPr>
        <w:t xml:space="preserve"> </w:t>
      </w:r>
      <w:r w:rsidR="00B04D96">
        <w:rPr>
          <w:sz w:val="22"/>
        </w:rPr>
        <w:t xml:space="preserve">Gilbert </w:t>
      </w:r>
      <w:proofErr w:type="spellStart"/>
      <w:r w:rsidR="00B04D96">
        <w:rPr>
          <w:sz w:val="22"/>
        </w:rPr>
        <w:t>Simondon</w:t>
      </w:r>
      <w:proofErr w:type="spellEnd"/>
      <w:r w:rsidR="009B6C2B">
        <w:rPr>
          <w:rStyle w:val="Fodnotehenvisning"/>
          <w:sz w:val="22"/>
        </w:rPr>
        <w:footnoteReference w:id="24"/>
      </w:r>
      <w:r w:rsidR="00E36181">
        <w:rPr>
          <w:sz w:val="22"/>
        </w:rPr>
        <w:t xml:space="preserve"> </w:t>
      </w:r>
      <w:r w:rsidR="00B04D96">
        <w:rPr>
          <w:sz w:val="22"/>
        </w:rPr>
        <w:t xml:space="preserve">and </w:t>
      </w:r>
      <w:r w:rsidR="000F4DE0">
        <w:rPr>
          <w:sz w:val="22"/>
        </w:rPr>
        <w:t>Jane Bennett</w:t>
      </w:r>
      <w:r w:rsidR="00A14171">
        <w:rPr>
          <w:sz w:val="22"/>
        </w:rPr>
        <w:t xml:space="preserve"> </w:t>
      </w:r>
      <w:r w:rsidR="008A045A">
        <w:rPr>
          <w:sz w:val="22"/>
        </w:rPr>
        <w:t xml:space="preserve">have </w:t>
      </w:r>
      <w:r w:rsidR="000F4DE0">
        <w:rPr>
          <w:sz w:val="22"/>
        </w:rPr>
        <w:t>question</w:t>
      </w:r>
      <w:r w:rsidR="008A045A">
        <w:rPr>
          <w:sz w:val="22"/>
        </w:rPr>
        <w:t>ed</w:t>
      </w:r>
      <w:r w:rsidR="000F4DE0">
        <w:rPr>
          <w:sz w:val="22"/>
        </w:rPr>
        <w:t xml:space="preserve"> the value and validity of</w:t>
      </w:r>
      <w:r w:rsidR="00C80E2B" w:rsidRPr="00CE0087">
        <w:rPr>
          <w:sz w:val="22"/>
        </w:rPr>
        <w:t xml:space="preserve"> </w:t>
      </w:r>
      <w:proofErr w:type="spellStart"/>
      <w:r w:rsidR="00C80E2B" w:rsidRPr="00CE0087">
        <w:rPr>
          <w:sz w:val="22"/>
        </w:rPr>
        <w:t>hylomorphic</w:t>
      </w:r>
      <w:proofErr w:type="spellEnd"/>
      <w:r w:rsidR="00C80E2B" w:rsidRPr="00CE0087">
        <w:rPr>
          <w:sz w:val="22"/>
        </w:rPr>
        <w:t xml:space="preserve"> approach</w:t>
      </w:r>
      <w:r w:rsidR="000F4DE0">
        <w:rPr>
          <w:sz w:val="22"/>
        </w:rPr>
        <w:t>es</w:t>
      </w:r>
      <w:r w:rsidR="00C80E2B" w:rsidRPr="00CE0087">
        <w:rPr>
          <w:sz w:val="22"/>
        </w:rPr>
        <w:t xml:space="preserve"> to thinking about matter by which (active) form shapes (passive) matte</w:t>
      </w:r>
      <w:r w:rsidR="005C4255">
        <w:rPr>
          <w:sz w:val="22"/>
        </w:rPr>
        <w:t>r. Analogously</w:t>
      </w:r>
      <w:r w:rsidR="00A14171">
        <w:rPr>
          <w:sz w:val="22"/>
        </w:rPr>
        <w:t>, t</w:t>
      </w:r>
      <w:r w:rsidR="00C80E2B" w:rsidRPr="00CE0087">
        <w:rPr>
          <w:sz w:val="22"/>
        </w:rPr>
        <w:t xml:space="preserve">he </w:t>
      </w:r>
      <w:r w:rsidR="007477FB">
        <w:rPr>
          <w:sz w:val="22"/>
        </w:rPr>
        <w:t xml:space="preserve">image and </w:t>
      </w:r>
      <w:r w:rsidR="00C80E2B" w:rsidRPr="00CE0087">
        <w:rPr>
          <w:sz w:val="22"/>
        </w:rPr>
        <w:t>language of ‘transferable’ or ‘g</w:t>
      </w:r>
      <w:r w:rsidR="00A14171">
        <w:rPr>
          <w:sz w:val="22"/>
        </w:rPr>
        <w:t>eneric’</w:t>
      </w:r>
      <w:r w:rsidR="007477FB">
        <w:rPr>
          <w:sz w:val="22"/>
        </w:rPr>
        <w:t xml:space="preserve"> skills’ imply</w:t>
      </w:r>
      <w:r w:rsidR="005C4255">
        <w:rPr>
          <w:sz w:val="22"/>
        </w:rPr>
        <w:t xml:space="preserve"> that </w:t>
      </w:r>
      <w:r w:rsidR="00A14171">
        <w:rPr>
          <w:sz w:val="22"/>
        </w:rPr>
        <w:t>skills can be not only</w:t>
      </w:r>
      <w:r w:rsidR="00C80E2B" w:rsidRPr="00CE0087">
        <w:rPr>
          <w:sz w:val="22"/>
        </w:rPr>
        <w:t xml:space="preserve"> uncoupled from material practices</w:t>
      </w:r>
      <w:r w:rsidR="00A14171">
        <w:rPr>
          <w:sz w:val="22"/>
        </w:rPr>
        <w:t xml:space="preserve"> but </w:t>
      </w:r>
      <w:r w:rsidR="005C4255">
        <w:rPr>
          <w:sz w:val="22"/>
        </w:rPr>
        <w:t xml:space="preserve">even </w:t>
      </w:r>
      <w:r w:rsidR="00A14171">
        <w:rPr>
          <w:sz w:val="22"/>
        </w:rPr>
        <w:t xml:space="preserve">developed without </w:t>
      </w:r>
      <w:r w:rsidR="005167FF">
        <w:rPr>
          <w:sz w:val="22"/>
        </w:rPr>
        <w:t>any subject matter</w:t>
      </w:r>
      <w:r w:rsidR="00C80E2B" w:rsidRPr="00CE0087">
        <w:rPr>
          <w:sz w:val="22"/>
        </w:rPr>
        <w:t>, operating effec</w:t>
      </w:r>
      <w:r w:rsidR="00C80E2B">
        <w:rPr>
          <w:sz w:val="22"/>
        </w:rPr>
        <w:t>tively regardless of context, or</w:t>
      </w:r>
      <w:r w:rsidR="00C80E2B" w:rsidRPr="00CE0087">
        <w:rPr>
          <w:sz w:val="22"/>
        </w:rPr>
        <w:t xml:space="preserve"> any </w:t>
      </w:r>
      <w:r w:rsidR="005167FF">
        <w:rPr>
          <w:sz w:val="22"/>
        </w:rPr>
        <w:t>content</w:t>
      </w:r>
      <w:r w:rsidR="00C80E2B" w:rsidRPr="00CE0087">
        <w:rPr>
          <w:sz w:val="22"/>
        </w:rPr>
        <w:t>. Bennett</w:t>
      </w:r>
      <w:r w:rsidR="008A045A">
        <w:rPr>
          <w:sz w:val="22"/>
        </w:rPr>
        <w:t xml:space="preserve"> prefers</w:t>
      </w:r>
      <w:r w:rsidR="006F488A">
        <w:rPr>
          <w:sz w:val="22"/>
        </w:rPr>
        <w:t>, she says,</w:t>
      </w:r>
      <w:r w:rsidR="00DD7322">
        <w:rPr>
          <w:sz w:val="22"/>
        </w:rPr>
        <w:t xml:space="preserve"> </w:t>
      </w:r>
      <w:r w:rsidR="00C80E2B" w:rsidRPr="00CE0087">
        <w:rPr>
          <w:sz w:val="22"/>
        </w:rPr>
        <w:t>encounter</w:t>
      </w:r>
      <w:r w:rsidR="00966588">
        <w:rPr>
          <w:sz w:val="22"/>
        </w:rPr>
        <w:t>s</w:t>
      </w:r>
      <w:r w:rsidR="00C80E2B" w:rsidRPr="00CE0087">
        <w:rPr>
          <w:sz w:val="22"/>
        </w:rPr>
        <w:t xml:space="preserve"> with creative materiality </w:t>
      </w:r>
      <w:r w:rsidR="00966588">
        <w:rPr>
          <w:sz w:val="22"/>
        </w:rPr>
        <w:t>that</w:t>
      </w:r>
      <w:r w:rsidR="00C80E2B" w:rsidRPr="00CE0087">
        <w:rPr>
          <w:sz w:val="22"/>
        </w:rPr>
        <w:t xml:space="preserve"> anyone who is intimate with </w:t>
      </w:r>
      <w:r w:rsidR="00C80E2B" w:rsidRPr="00F22861">
        <w:rPr>
          <w:i/>
          <w:sz w:val="22"/>
        </w:rPr>
        <w:t>things</w:t>
      </w:r>
      <w:r w:rsidR="00966588">
        <w:rPr>
          <w:sz w:val="22"/>
        </w:rPr>
        <w:t xml:space="preserve"> experiences</w:t>
      </w:r>
      <w:r w:rsidR="00C80E2B" w:rsidRPr="00CE0087">
        <w:rPr>
          <w:sz w:val="22"/>
        </w:rPr>
        <w:t xml:space="preserve">. She includes in her list artisans, mechanics, cooks, builders and cleaners, though we could readily extend that list to the ‘things’ of the humanities and the sciences more broadly. The intimacy of the relation of metalworkers with their material allowed them to discover the ‘polycrystalline structure’ of non-organic matter. Through a tacit knowledge of their ‘protean activeness’, metals could be worked with and upon. This image of creative materiality can be extended beyond the examples offered by Bennett </w:t>
      </w:r>
      <w:r w:rsidR="00700CB0">
        <w:rPr>
          <w:sz w:val="22"/>
        </w:rPr>
        <w:t xml:space="preserve">in order </w:t>
      </w:r>
      <w:r w:rsidR="00DD7322">
        <w:rPr>
          <w:sz w:val="22"/>
        </w:rPr>
        <w:t xml:space="preserve">to follow </w:t>
      </w:r>
      <w:r w:rsidR="005167FF">
        <w:rPr>
          <w:sz w:val="22"/>
        </w:rPr>
        <w:t>the inter-play of pract</w:t>
      </w:r>
      <w:r w:rsidR="00C80E2B" w:rsidRPr="00CE0087">
        <w:rPr>
          <w:sz w:val="22"/>
        </w:rPr>
        <w:t>itioner in any field with the material with which they are in dialogue. There is skilfulness in those practices but it is embodied, embedded, emergent and contextual, as described so well by Evelyn Fox Keller</w:t>
      </w:r>
      <w:r w:rsidR="00E36181">
        <w:rPr>
          <w:rStyle w:val="Fodnotehenvisning"/>
          <w:sz w:val="22"/>
        </w:rPr>
        <w:footnoteReference w:id="25"/>
      </w:r>
      <w:r w:rsidR="00C80E2B" w:rsidRPr="00CE0087">
        <w:rPr>
          <w:sz w:val="22"/>
        </w:rPr>
        <w:t xml:space="preserve"> in her biography of Barbara McClintock. It is an immanent process through which each question and intervention opens up different possibilities for understanding and action. </w:t>
      </w:r>
      <w:r w:rsidR="005167FF">
        <w:rPr>
          <w:rStyle w:val="a"/>
          <w:sz w:val="22"/>
        </w:rPr>
        <w:t>Skills</w:t>
      </w:r>
      <w:r w:rsidR="005167FF" w:rsidRPr="00CE0087">
        <w:rPr>
          <w:rStyle w:val="a"/>
          <w:sz w:val="22"/>
        </w:rPr>
        <w:t xml:space="preserve"> do not exist in </w:t>
      </w:r>
      <w:proofErr w:type="gramStart"/>
      <w:r w:rsidR="005167FF" w:rsidRPr="00CE0087">
        <w:rPr>
          <w:rStyle w:val="a"/>
          <w:sz w:val="22"/>
        </w:rPr>
        <w:t>an ether</w:t>
      </w:r>
      <w:proofErr w:type="gramEnd"/>
      <w:r w:rsidR="005167FF" w:rsidRPr="00CE0087">
        <w:rPr>
          <w:rStyle w:val="a"/>
          <w:sz w:val="22"/>
        </w:rPr>
        <w:t xml:space="preserve"> divorced from the exercise and practice </w:t>
      </w:r>
      <w:r w:rsidR="005167FF">
        <w:rPr>
          <w:rStyle w:val="a"/>
          <w:sz w:val="22"/>
        </w:rPr>
        <w:t>of specific</w:t>
      </w:r>
      <w:r w:rsidR="0053075A">
        <w:rPr>
          <w:rStyle w:val="a"/>
          <w:sz w:val="22"/>
        </w:rPr>
        <w:t xml:space="preserve"> embedded and</w:t>
      </w:r>
      <w:r w:rsidR="005167FF">
        <w:rPr>
          <w:rStyle w:val="a"/>
          <w:sz w:val="22"/>
        </w:rPr>
        <w:t xml:space="preserve"> embodied activities</w:t>
      </w:r>
      <w:r w:rsidR="005167FF" w:rsidRPr="00CE0087">
        <w:rPr>
          <w:rStyle w:val="a"/>
          <w:sz w:val="22"/>
        </w:rPr>
        <w:t>.</w:t>
      </w:r>
      <w:r w:rsidR="005167FF">
        <w:rPr>
          <w:rStyle w:val="a"/>
          <w:sz w:val="22"/>
        </w:rPr>
        <w:t xml:space="preserve"> </w:t>
      </w:r>
    </w:p>
    <w:p w14:paraId="449488E6" w14:textId="77777777" w:rsidR="00C80E2B" w:rsidRDefault="00C80E2B" w:rsidP="00F22861">
      <w:pPr>
        <w:jc w:val="both"/>
        <w:rPr>
          <w:sz w:val="22"/>
          <w:lang w:bidi="en-US"/>
        </w:rPr>
      </w:pPr>
    </w:p>
    <w:p w14:paraId="0AA73D51" w14:textId="1D9D7468" w:rsidR="00427BA8" w:rsidRDefault="005167FF" w:rsidP="00F22861">
      <w:pPr>
        <w:jc w:val="both"/>
        <w:rPr>
          <w:rStyle w:val="a"/>
          <w:sz w:val="22"/>
        </w:rPr>
      </w:pPr>
      <w:r>
        <w:rPr>
          <w:sz w:val="22"/>
          <w:lang w:bidi="en-US"/>
        </w:rPr>
        <w:t xml:space="preserve">Susan </w:t>
      </w:r>
      <w:proofErr w:type="spellStart"/>
      <w:r w:rsidR="00402809">
        <w:rPr>
          <w:sz w:val="22"/>
          <w:lang w:bidi="en-US"/>
        </w:rPr>
        <w:t>Oyama</w:t>
      </w:r>
      <w:proofErr w:type="spellEnd"/>
      <w:r w:rsidR="00E36181">
        <w:rPr>
          <w:rStyle w:val="Fodnotehenvisning"/>
          <w:sz w:val="22"/>
          <w:lang w:bidi="en-US"/>
        </w:rPr>
        <w:footnoteReference w:id="26"/>
      </w:r>
      <w:r w:rsidR="00427BA8" w:rsidRPr="00CE0087">
        <w:rPr>
          <w:sz w:val="22"/>
          <w:lang w:bidi="en-US"/>
        </w:rPr>
        <w:t xml:space="preserve"> is concerned by the </w:t>
      </w:r>
      <w:r w:rsidR="00552FD1">
        <w:rPr>
          <w:sz w:val="22"/>
          <w:lang w:bidi="en-US"/>
        </w:rPr>
        <w:t>‘</w:t>
      </w:r>
      <w:r w:rsidR="00427BA8" w:rsidRPr="00CE0087">
        <w:rPr>
          <w:sz w:val="22"/>
          <w:lang w:bidi="en-US"/>
        </w:rPr>
        <w:t>de-</w:t>
      </w:r>
      <w:proofErr w:type="spellStart"/>
      <w:r w:rsidR="00427BA8" w:rsidRPr="00CE0087">
        <w:rPr>
          <w:sz w:val="22"/>
          <w:lang w:bidi="en-US"/>
        </w:rPr>
        <w:t>substantialisation</w:t>
      </w:r>
      <w:proofErr w:type="spellEnd"/>
      <w:r w:rsidR="00552FD1">
        <w:rPr>
          <w:sz w:val="22"/>
          <w:lang w:bidi="en-US"/>
        </w:rPr>
        <w:t>’</w:t>
      </w:r>
      <w:r w:rsidR="00427BA8" w:rsidRPr="00CE0087">
        <w:rPr>
          <w:sz w:val="22"/>
          <w:lang w:bidi="en-US"/>
        </w:rPr>
        <w:t xml:space="preserve"> of her field of knowledge – developmental biology</w:t>
      </w:r>
      <w:r w:rsidR="006F488A">
        <w:rPr>
          <w:sz w:val="22"/>
          <w:lang w:bidi="en-US"/>
        </w:rPr>
        <w:t xml:space="preserve"> in a way that resonates with some of our discussions of skills talk and education</w:t>
      </w:r>
      <w:r w:rsidR="00427BA8" w:rsidRPr="00CE0087">
        <w:rPr>
          <w:sz w:val="22"/>
          <w:lang w:bidi="en-US"/>
        </w:rPr>
        <w:t xml:space="preserve">. She takes issue with the way in which the language of genetics appears to be able to do without materiality. </w:t>
      </w:r>
      <w:r w:rsidR="00402809">
        <w:rPr>
          <w:sz w:val="22"/>
          <w:lang w:bidi="en-US"/>
        </w:rPr>
        <w:t>The following quote</w:t>
      </w:r>
      <w:r w:rsidR="00B35BB8">
        <w:rPr>
          <w:sz w:val="22"/>
          <w:lang w:bidi="en-US"/>
        </w:rPr>
        <w:t xml:space="preserve"> illustrates this tendency, “</w:t>
      </w:r>
      <w:r w:rsidR="00427BA8" w:rsidRPr="00CE0087">
        <w:rPr>
          <w:sz w:val="22"/>
          <w:lang w:bidi="en-US"/>
        </w:rPr>
        <w:t>Genetic information is said to be weightless and independent of its material substrate; for evolutionary biologist G.C. Williams it dwells in a “</w:t>
      </w:r>
      <w:proofErr w:type="spellStart"/>
      <w:r w:rsidR="00427BA8" w:rsidRPr="00CE0087">
        <w:rPr>
          <w:sz w:val="22"/>
          <w:lang w:bidi="en-US"/>
        </w:rPr>
        <w:t>codical</w:t>
      </w:r>
      <w:proofErr w:type="spellEnd"/>
      <w:r w:rsidR="00427BA8" w:rsidRPr="00CE0087">
        <w:rPr>
          <w:sz w:val="22"/>
          <w:lang w:bidi="en-US"/>
        </w:rPr>
        <w:t xml:space="preserve"> domain”</w:t>
      </w:r>
      <w:r w:rsidR="0090313B">
        <w:rPr>
          <w:sz w:val="22"/>
          <w:lang w:bidi="en-US"/>
        </w:rPr>
        <w:t xml:space="preserve"> separate from the physical one</w:t>
      </w:r>
      <w:r w:rsidR="00B35BB8">
        <w:rPr>
          <w:sz w:val="22"/>
          <w:lang w:bidi="en-US"/>
        </w:rPr>
        <w:t>”</w:t>
      </w:r>
      <w:r w:rsidR="001B29E4">
        <w:rPr>
          <w:sz w:val="22"/>
          <w:lang w:bidi="en-US"/>
        </w:rPr>
        <w:t>.</w:t>
      </w:r>
      <w:r w:rsidR="001B29E4">
        <w:rPr>
          <w:rStyle w:val="Fodnotehenvisning"/>
          <w:sz w:val="22"/>
          <w:lang w:bidi="en-US"/>
        </w:rPr>
        <w:footnoteReference w:id="27"/>
      </w:r>
      <w:r w:rsidR="001B29E4">
        <w:rPr>
          <w:sz w:val="22"/>
          <w:lang w:bidi="en-US"/>
        </w:rPr>
        <w:t xml:space="preserve"> </w:t>
      </w:r>
      <w:r w:rsidR="0056643B">
        <w:rPr>
          <w:sz w:val="22"/>
          <w:lang w:bidi="en-US"/>
        </w:rPr>
        <w:t>Richard</w:t>
      </w:r>
      <w:r w:rsidR="00427BA8" w:rsidRPr="00CE0087">
        <w:rPr>
          <w:sz w:val="22"/>
          <w:lang w:bidi="en-US"/>
        </w:rPr>
        <w:t xml:space="preserve"> Dawkins</w:t>
      </w:r>
      <w:r w:rsidR="0056643B">
        <w:rPr>
          <w:rStyle w:val="Fodnotehenvisning"/>
          <w:sz w:val="22"/>
          <w:lang w:bidi="en-US"/>
        </w:rPr>
        <w:footnoteReference w:id="28"/>
      </w:r>
      <w:r w:rsidR="00427BA8" w:rsidRPr="00CE0087">
        <w:rPr>
          <w:sz w:val="22"/>
          <w:lang w:bidi="en-US"/>
        </w:rPr>
        <w:t xml:space="preserve"> </w:t>
      </w:r>
      <w:r w:rsidR="00552FD1">
        <w:rPr>
          <w:sz w:val="22"/>
          <w:lang w:bidi="en-US"/>
        </w:rPr>
        <w:t>claimed that</w:t>
      </w:r>
      <w:r w:rsidR="001B3F98">
        <w:rPr>
          <w:sz w:val="22"/>
          <w:lang w:bidi="en-US"/>
        </w:rPr>
        <w:t xml:space="preserve"> </w:t>
      </w:r>
      <w:r w:rsidR="00B35BB8">
        <w:rPr>
          <w:sz w:val="22"/>
          <w:lang w:bidi="en-US"/>
        </w:rPr>
        <w:t>“</w:t>
      </w:r>
      <w:r w:rsidR="00427BA8" w:rsidRPr="00CE0087">
        <w:rPr>
          <w:sz w:val="22"/>
          <w:lang w:bidi="en-US"/>
        </w:rPr>
        <w:t>life is just bytes and bytes a</w:t>
      </w:r>
      <w:r w:rsidR="001B3F98">
        <w:rPr>
          <w:sz w:val="22"/>
          <w:lang w:bidi="en-US"/>
        </w:rPr>
        <w:t>nd bytes of digital information</w:t>
      </w:r>
      <w:r w:rsidR="00B35BB8">
        <w:rPr>
          <w:sz w:val="22"/>
          <w:lang w:bidi="en-US"/>
        </w:rPr>
        <w:t>”</w:t>
      </w:r>
      <w:r w:rsidR="001B29E4">
        <w:rPr>
          <w:rStyle w:val="Fodnotehenvisning"/>
          <w:sz w:val="22"/>
          <w:lang w:bidi="en-US"/>
        </w:rPr>
        <w:footnoteReference w:id="29"/>
      </w:r>
      <w:proofErr w:type="gramStart"/>
      <w:r w:rsidR="00552FD1">
        <w:rPr>
          <w:sz w:val="22"/>
          <w:lang w:bidi="en-US"/>
        </w:rPr>
        <w:t>,</w:t>
      </w:r>
      <w:r w:rsidR="00B35BB8">
        <w:rPr>
          <w:sz w:val="22"/>
          <w:lang w:bidi="en-US"/>
        </w:rPr>
        <w:t>“</w:t>
      </w:r>
      <w:proofErr w:type="gramEnd"/>
      <w:r w:rsidR="00552FD1">
        <w:rPr>
          <w:rStyle w:val="a"/>
          <w:sz w:val="22"/>
        </w:rPr>
        <w:t>[...]</w:t>
      </w:r>
      <w:r w:rsidR="00427BA8" w:rsidRPr="00CE0087">
        <w:rPr>
          <w:rStyle w:val="a"/>
          <w:sz w:val="22"/>
        </w:rPr>
        <w:t xml:space="preserve"> a river of information, not a river of bones and tissues: a river of abstract instructions for building bodies, not a river of solid bodies themselves. The information passes through bodies and affects them, but it is not affect</w:t>
      </w:r>
      <w:r w:rsidR="00B35BB8">
        <w:rPr>
          <w:rStyle w:val="a"/>
          <w:sz w:val="22"/>
        </w:rPr>
        <w:t>ed by them on its way through.”</w:t>
      </w:r>
      <w:r w:rsidR="00B35BB8">
        <w:rPr>
          <w:rStyle w:val="Fodnotehenvisning"/>
          <w:sz w:val="22"/>
        </w:rPr>
        <w:footnoteReference w:id="30"/>
      </w:r>
      <w:r w:rsidR="00B35BB8">
        <w:rPr>
          <w:rStyle w:val="a"/>
          <w:sz w:val="22"/>
        </w:rPr>
        <w:t xml:space="preserve"> </w:t>
      </w:r>
      <w:r>
        <w:rPr>
          <w:rStyle w:val="a"/>
          <w:sz w:val="22"/>
        </w:rPr>
        <w:t xml:space="preserve">This is not </w:t>
      </w:r>
      <w:r w:rsidR="0053075A">
        <w:rPr>
          <w:rStyle w:val="a"/>
          <w:sz w:val="22"/>
        </w:rPr>
        <w:t xml:space="preserve">meant </w:t>
      </w:r>
      <w:r w:rsidR="00552FD1">
        <w:rPr>
          <w:rStyle w:val="a"/>
          <w:sz w:val="22"/>
        </w:rPr>
        <w:t xml:space="preserve">to offer a metaphor for life but </w:t>
      </w:r>
      <w:r w:rsidR="006F488A">
        <w:rPr>
          <w:rStyle w:val="a"/>
          <w:sz w:val="22"/>
        </w:rPr>
        <w:t>is meant to</w:t>
      </w:r>
      <w:r w:rsidR="00552FD1">
        <w:rPr>
          <w:rStyle w:val="a"/>
          <w:sz w:val="22"/>
        </w:rPr>
        <w:t xml:space="preserve"> be taken literally</w:t>
      </w:r>
      <w:r>
        <w:rPr>
          <w:rStyle w:val="a"/>
          <w:sz w:val="22"/>
        </w:rPr>
        <w:t xml:space="preserve">. </w:t>
      </w:r>
      <w:proofErr w:type="spellStart"/>
      <w:r w:rsidR="00427BA8" w:rsidRPr="00CE0087">
        <w:rPr>
          <w:sz w:val="22"/>
          <w:lang w:bidi="en-US"/>
        </w:rPr>
        <w:t>Oyama</w:t>
      </w:r>
      <w:proofErr w:type="spellEnd"/>
      <w:r w:rsidR="00427BA8" w:rsidRPr="00CE0087">
        <w:rPr>
          <w:sz w:val="22"/>
          <w:lang w:bidi="en-US"/>
        </w:rPr>
        <w:t xml:space="preserve"> calls this</w:t>
      </w:r>
      <w:r w:rsidR="00402809">
        <w:rPr>
          <w:sz w:val="22"/>
          <w:lang w:bidi="en-US"/>
        </w:rPr>
        <w:t xml:space="preserve"> kind of talk ‘info-talk’ whereby </w:t>
      </w:r>
      <w:r w:rsidR="00427BA8" w:rsidRPr="00CE0087">
        <w:rPr>
          <w:rStyle w:val="a"/>
          <w:sz w:val="22"/>
        </w:rPr>
        <w:t>information’s power seems to stem from</w:t>
      </w:r>
      <w:r w:rsidR="00552FD1">
        <w:rPr>
          <w:rStyle w:val="a"/>
          <w:sz w:val="22"/>
        </w:rPr>
        <w:t xml:space="preserve"> (a magical)</w:t>
      </w:r>
      <w:r w:rsidR="00427BA8" w:rsidRPr="00CE0087">
        <w:rPr>
          <w:rStyle w:val="a"/>
          <w:sz w:val="22"/>
        </w:rPr>
        <w:t xml:space="preserve"> abstract immateriality</w:t>
      </w:r>
      <w:r w:rsidR="00427BA8" w:rsidRPr="00CE0087">
        <w:rPr>
          <w:sz w:val="22"/>
          <w:lang w:bidi="en-US"/>
        </w:rPr>
        <w:t xml:space="preserve">. She </w:t>
      </w:r>
      <w:r w:rsidR="00427BA8">
        <w:rPr>
          <w:sz w:val="22"/>
          <w:lang w:bidi="en-US"/>
        </w:rPr>
        <w:t>argues</w:t>
      </w:r>
      <w:r w:rsidR="00427BA8" w:rsidRPr="00CE0087">
        <w:rPr>
          <w:sz w:val="22"/>
          <w:lang w:bidi="en-US"/>
        </w:rPr>
        <w:t xml:space="preserve"> that information is deified in the work of people like Dawkins </w:t>
      </w:r>
      <w:r w:rsidR="00552FD1">
        <w:rPr>
          <w:sz w:val="22"/>
          <w:lang w:bidi="en-US"/>
        </w:rPr>
        <w:t>and Daniel</w:t>
      </w:r>
      <w:r w:rsidR="00427BA8" w:rsidRPr="00CE0087">
        <w:rPr>
          <w:sz w:val="22"/>
          <w:lang w:bidi="en-US"/>
        </w:rPr>
        <w:t xml:space="preserve"> Dennett</w:t>
      </w:r>
      <w:r w:rsidR="00305996">
        <w:rPr>
          <w:rStyle w:val="Fodnotehenvisning"/>
          <w:sz w:val="22"/>
          <w:lang w:bidi="en-US"/>
        </w:rPr>
        <w:footnoteReference w:id="31"/>
      </w:r>
      <w:r w:rsidR="00552FD1">
        <w:rPr>
          <w:sz w:val="22"/>
          <w:lang w:bidi="en-US"/>
        </w:rPr>
        <w:t xml:space="preserve">, saying that, </w:t>
      </w:r>
      <w:r w:rsidR="00B35BB8">
        <w:rPr>
          <w:sz w:val="22"/>
          <w:lang w:bidi="en-US"/>
        </w:rPr>
        <w:t>“</w:t>
      </w:r>
      <w:r w:rsidR="00427BA8" w:rsidRPr="00CE0087">
        <w:rPr>
          <w:sz w:val="22"/>
          <w:lang w:val="en-US" w:bidi="en-US"/>
        </w:rPr>
        <w:t xml:space="preserve">The </w:t>
      </w:r>
      <w:proofErr w:type="spellStart"/>
      <w:r w:rsidR="00427BA8" w:rsidRPr="00CE0087">
        <w:rPr>
          <w:sz w:val="22"/>
          <w:lang w:val="en-US" w:bidi="en-US"/>
        </w:rPr>
        <w:t>sprawlingly</w:t>
      </w:r>
      <w:proofErr w:type="spellEnd"/>
      <w:r w:rsidR="00427BA8" w:rsidRPr="00CE0087">
        <w:rPr>
          <w:sz w:val="22"/>
          <w:lang w:val="en-US" w:bidi="en-US"/>
        </w:rPr>
        <w:t xml:space="preserve"> heterogeneous usage of information has only been touched on here, and part of my point is that the search for a one-size-fits-all organizati</w:t>
      </w:r>
      <w:r w:rsidR="00402809">
        <w:rPr>
          <w:sz w:val="22"/>
          <w:lang w:val="en-US" w:bidi="en-US"/>
        </w:rPr>
        <w:t>onal principle is misconceived</w:t>
      </w:r>
      <w:r w:rsidR="00B35BB8">
        <w:rPr>
          <w:sz w:val="22"/>
          <w:lang w:val="en-US" w:bidi="en-US"/>
        </w:rPr>
        <w:t>”</w:t>
      </w:r>
      <w:r w:rsidR="001B29E4">
        <w:rPr>
          <w:rStyle w:val="Fodnotehenvisning"/>
          <w:sz w:val="22"/>
          <w:lang w:val="en-US" w:bidi="en-US"/>
        </w:rPr>
        <w:footnoteReference w:id="32"/>
      </w:r>
      <w:r w:rsidR="00552FD1">
        <w:rPr>
          <w:sz w:val="22"/>
          <w:lang w:val="en-US" w:bidi="en-US"/>
        </w:rPr>
        <w:t>. She notes that</w:t>
      </w:r>
      <w:r w:rsidR="00427BA8" w:rsidRPr="00CE0087">
        <w:rPr>
          <w:sz w:val="22"/>
          <w:lang w:val="en-US" w:bidi="en-US"/>
        </w:rPr>
        <w:t xml:space="preserve"> </w:t>
      </w:r>
      <w:r w:rsidR="00B35BB8">
        <w:rPr>
          <w:rStyle w:val="a"/>
          <w:sz w:val="22"/>
        </w:rPr>
        <w:t>“</w:t>
      </w:r>
      <w:r w:rsidR="00552FD1">
        <w:rPr>
          <w:rStyle w:val="a"/>
          <w:sz w:val="22"/>
        </w:rPr>
        <w:t>[r]</w:t>
      </w:r>
      <w:proofErr w:type="spellStart"/>
      <w:r w:rsidR="00427BA8" w:rsidRPr="00CE0087">
        <w:rPr>
          <w:rStyle w:val="a"/>
          <w:sz w:val="22"/>
        </w:rPr>
        <w:t>hetorically</w:t>
      </w:r>
      <w:proofErr w:type="spellEnd"/>
      <w:r w:rsidR="00427BA8" w:rsidRPr="00CE0087">
        <w:rPr>
          <w:rStyle w:val="a"/>
          <w:sz w:val="22"/>
        </w:rPr>
        <w:t xml:space="preserve"> making matter disappear also encourages neglect of the histo</w:t>
      </w:r>
      <w:r w:rsidR="001B3F98">
        <w:rPr>
          <w:rStyle w:val="a"/>
          <w:sz w:val="22"/>
        </w:rPr>
        <w:t>r</w:t>
      </w:r>
      <w:r>
        <w:rPr>
          <w:rStyle w:val="a"/>
          <w:sz w:val="22"/>
        </w:rPr>
        <w:t xml:space="preserve">ies and concrete arrangements - time and space - </w:t>
      </w:r>
      <w:r w:rsidR="00427BA8" w:rsidRPr="00CE0087">
        <w:rPr>
          <w:rStyle w:val="a"/>
          <w:sz w:val="22"/>
        </w:rPr>
        <w:t>that generate biological marvels, and makes it harder to communicate them eff</w:t>
      </w:r>
      <w:r w:rsidR="001B3F98">
        <w:rPr>
          <w:rStyle w:val="a"/>
          <w:sz w:val="22"/>
        </w:rPr>
        <w:t>ectively</w:t>
      </w:r>
      <w:r w:rsidR="00B35BB8">
        <w:rPr>
          <w:rStyle w:val="a"/>
          <w:sz w:val="22"/>
        </w:rPr>
        <w:t>”</w:t>
      </w:r>
      <w:r w:rsidR="001B29E4">
        <w:rPr>
          <w:rStyle w:val="Fodnotehenvisning"/>
          <w:sz w:val="22"/>
        </w:rPr>
        <w:footnoteReference w:id="33"/>
      </w:r>
    </w:p>
    <w:p w14:paraId="61F5D412" w14:textId="77777777" w:rsidR="002A5301" w:rsidRDefault="002A5301" w:rsidP="00F22861">
      <w:pPr>
        <w:jc w:val="both"/>
        <w:rPr>
          <w:rStyle w:val="a"/>
          <w:sz w:val="22"/>
        </w:rPr>
      </w:pPr>
    </w:p>
    <w:p w14:paraId="152C0F73" w14:textId="43648A0F" w:rsidR="00C31105" w:rsidRDefault="002A5301" w:rsidP="00F22861">
      <w:pPr>
        <w:jc w:val="both"/>
        <w:rPr>
          <w:sz w:val="22"/>
        </w:rPr>
      </w:pPr>
      <w:r>
        <w:rPr>
          <w:sz w:val="22"/>
        </w:rPr>
        <w:t xml:space="preserve">Although </w:t>
      </w:r>
      <w:proofErr w:type="spellStart"/>
      <w:r>
        <w:rPr>
          <w:sz w:val="22"/>
        </w:rPr>
        <w:t>Oyama</w:t>
      </w:r>
      <w:proofErr w:type="spellEnd"/>
      <w:r>
        <w:rPr>
          <w:sz w:val="22"/>
        </w:rPr>
        <w:t xml:space="preserve"> is speaking about information in this passage, her words are instructive for those of us concerned by the de-materialising turn in</w:t>
      </w:r>
      <w:r w:rsidR="00C31105">
        <w:rPr>
          <w:sz w:val="22"/>
        </w:rPr>
        <w:t xml:space="preserve"> </w:t>
      </w:r>
      <w:r>
        <w:rPr>
          <w:sz w:val="22"/>
        </w:rPr>
        <w:t>skills talk</w:t>
      </w:r>
      <w:r w:rsidR="003A4C9D">
        <w:rPr>
          <w:sz w:val="22"/>
        </w:rPr>
        <w:t xml:space="preserve"> and its implications for education</w:t>
      </w:r>
      <w:r>
        <w:rPr>
          <w:sz w:val="22"/>
        </w:rPr>
        <w:t xml:space="preserve">. She writes, </w:t>
      </w:r>
      <w:r w:rsidR="00B35BB8">
        <w:rPr>
          <w:sz w:val="22"/>
        </w:rPr>
        <w:t>“</w:t>
      </w:r>
      <w:r>
        <w:rPr>
          <w:sz w:val="22"/>
        </w:rPr>
        <w:t>But information is not some mysterious stuff, capable of being transmitted from one place to another, translated, accumulated, and stored; rather it goes out of kinds of relations. For Gregory Bateson</w:t>
      </w:r>
      <w:r w:rsidR="00F028DB">
        <w:rPr>
          <w:rStyle w:val="Fodnotehenvisning"/>
          <w:sz w:val="22"/>
        </w:rPr>
        <w:footnoteReference w:id="34"/>
      </w:r>
      <w:r>
        <w:rPr>
          <w:sz w:val="22"/>
        </w:rPr>
        <w:t xml:space="preserve"> information is a difference that makes a difference. This invites questions: a difference in what (What are you paying attention to?), about what (what matters?), for whom (Who is asking, who is affected?). Asking these questions leads us to focus on the knower, a knower who always has a particular history, soc</w:t>
      </w:r>
      <w:r w:rsidR="00F028DB">
        <w:rPr>
          <w:sz w:val="22"/>
        </w:rPr>
        <w:t>ial location and point of view</w:t>
      </w:r>
      <w:r w:rsidR="00B35BB8">
        <w:rPr>
          <w:sz w:val="22"/>
        </w:rPr>
        <w:t>”</w:t>
      </w:r>
      <w:r w:rsidR="00F028DB">
        <w:rPr>
          <w:sz w:val="22"/>
        </w:rPr>
        <w:t>.</w:t>
      </w:r>
      <w:r w:rsidR="00F028DB">
        <w:rPr>
          <w:rStyle w:val="Fodnotehenvisning"/>
          <w:sz w:val="22"/>
        </w:rPr>
        <w:footnoteReference w:id="35"/>
      </w:r>
      <w:r w:rsidR="00F028DB">
        <w:rPr>
          <w:sz w:val="22"/>
        </w:rPr>
        <w:t xml:space="preserve"> </w:t>
      </w:r>
      <w:proofErr w:type="spellStart"/>
      <w:r>
        <w:rPr>
          <w:sz w:val="22"/>
        </w:rPr>
        <w:t>Oyama</w:t>
      </w:r>
      <w:proofErr w:type="spellEnd"/>
      <w:r>
        <w:rPr>
          <w:sz w:val="22"/>
        </w:rPr>
        <w:t xml:space="preserve"> claims that scientific knowledge has been habitually disembodied and the use of the passive voice erases the context specificity of the knower, including her cares, interests, perspectives, worries and power relations</w:t>
      </w:r>
      <w:r w:rsidR="00C31105">
        <w:rPr>
          <w:sz w:val="22"/>
        </w:rPr>
        <w:t xml:space="preserve"> such that w</w:t>
      </w:r>
      <w:r>
        <w:rPr>
          <w:sz w:val="22"/>
        </w:rPr>
        <w:t>e forget even the romance of discovery described by Whitehead</w:t>
      </w:r>
      <w:r w:rsidR="00305996">
        <w:rPr>
          <w:rStyle w:val="Fodnotehenvisning"/>
          <w:sz w:val="22"/>
        </w:rPr>
        <w:footnoteReference w:id="36"/>
      </w:r>
      <w:r>
        <w:rPr>
          <w:sz w:val="22"/>
        </w:rPr>
        <w:t xml:space="preserve">. This </w:t>
      </w:r>
      <w:r w:rsidR="00C31105">
        <w:rPr>
          <w:sz w:val="22"/>
        </w:rPr>
        <w:t>reveals</w:t>
      </w:r>
      <w:r>
        <w:rPr>
          <w:sz w:val="22"/>
        </w:rPr>
        <w:t xml:space="preserve"> the</w:t>
      </w:r>
      <w:r w:rsidR="00C31105">
        <w:rPr>
          <w:sz w:val="22"/>
        </w:rPr>
        <w:t xml:space="preserve"> operation of the</w:t>
      </w:r>
      <w:r>
        <w:rPr>
          <w:sz w:val="22"/>
        </w:rPr>
        <w:t xml:space="preserve"> politics of knowledge; questions can become framed in such a way so authoritative that no dissent is brooked</w:t>
      </w:r>
      <w:r w:rsidR="00DE2F50">
        <w:rPr>
          <w:sz w:val="22"/>
        </w:rPr>
        <w:t>,</w:t>
      </w:r>
      <w:r>
        <w:rPr>
          <w:sz w:val="22"/>
        </w:rPr>
        <w:t xml:space="preserve"> </w:t>
      </w:r>
      <w:r w:rsidR="00C31105">
        <w:rPr>
          <w:sz w:val="22"/>
        </w:rPr>
        <w:t>foreclosing</w:t>
      </w:r>
      <w:r>
        <w:rPr>
          <w:sz w:val="22"/>
        </w:rPr>
        <w:t xml:space="preserve"> other ways of describing </w:t>
      </w:r>
      <w:r w:rsidR="00C31105">
        <w:rPr>
          <w:sz w:val="22"/>
        </w:rPr>
        <w:t>the</w:t>
      </w:r>
      <w:r>
        <w:rPr>
          <w:sz w:val="22"/>
        </w:rPr>
        <w:t xml:space="preserve"> relation to knowledge, to practice and to skilfulness in </w:t>
      </w:r>
      <w:r w:rsidR="00C31105">
        <w:rPr>
          <w:sz w:val="22"/>
        </w:rPr>
        <w:t xml:space="preserve">different fields and </w:t>
      </w:r>
      <w:r>
        <w:rPr>
          <w:sz w:val="22"/>
        </w:rPr>
        <w:t xml:space="preserve">domains. </w:t>
      </w:r>
      <w:proofErr w:type="spellStart"/>
      <w:r>
        <w:rPr>
          <w:sz w:val="22"/>
        </w:rPr>
        <w:t>Oyama</w:t>
      </w:r>
      <w:proofErr w:type="spellEnd"/>
      <w:r>
        <w:rPr>
          <w:sz w:val="22"/>
        </w:rPr>
        <w:t xml:space="preserve">, however, states her position even more strongly. Speaking of biology, she asks that rather than seeking timeless truths, we might come to </w:t>
      </w:r>
      <w:r w:rsidR="00B35BB8">
        <w:rPr>
          <w:sz w:val="22"/>
        </w:rPr>
        <w:t>“</w:t>
      </w:r>
      <w:r>
        <w:rPr>
          <w:sz w:val="22"/>
        </w:rPr>
        <w:t xml:space="preserve">appreciate </w:t>
      </w:r>
      <w:r w:rsidRPr="00F22861">
        <w:rPr>
          <w:i/>
          <w:sz w:val="22"/>
        </w:rPr>
        <w:t>particular</w:t>
      </w:r>
      <w:r>
        <w:rPr>
          <w:sz w:val="22"/>
        </w:rPr>
        <w:t xml:space="preserve"> perspectives as vehicles for empathy, </w:t>
      </w:r>
      <w:r w:rsidR="00305996">
        <w:rPr>
          <w:sz w:val="22"/>
        </w:rPr>
        <w:t>investigation, and change [</w:t>
      </w:r>
      <w:proofErr w:type="gramStart"/>
      <w:r w:rsidR="00305996">
        <w:rPr>
          <w:sz w:val="22"/>
        </w:rPr>
        <w:t>..]</w:t>
      </w:r>
      <w:proofErr w:type="gramEnd"/>
      <w:r w:rsidR="00B35BB8">
        <w:rPr>
          <w:sz w:val="22"/>
        </w:rPr>
        <w:t>”</w:t>
      </w:r>
      <w:r w:rsidR="00305996">
        <w:rPr>
          <w:sz w:val="22"/>
        </w:rPr>
        <w:t>.</w:t>
      </w:r>
      <w:r w:rsidR="00305996">
        <w:rPr>
          <w:rStyle w:val="Fodnotehenvisning"/>
          <w:sz w:val="22"/>
        </w:rPr>
        <w:footnoteReference w:id="37"/>
      </w:r>
    </w:p>
    <w:p w14:paraId="413A4555" w14:textId="77777777" w:rsidR="00C31105" w:rsidRDefault="00C31105" w:rsidP="00F22861">
      <w:pPr>
        <w:jc w:val="both"/>
        <w:rPr>
          <w:sz w:val="22"/>
        </w:rPr>
      </w:pPr>
    </w:p>
    <w:p w14:paraId="4CF55E82" w14:textId="30A33BBA" w:rsidR="002A5301" w:rsidRPr="00CE0087" w:rsidRDefault="00796BF2" w:rsidP="00F22861">
      <w:pPr>
        <w:jc w:val="both"/>
        <w:rPr>
          <w:sz w:val="22"/>
        </w:rPr>
      </w:pPr>
      <w:r>
        <w:rPr>
          <w:sz w:val="22"/>
        </w:rPr>
        <w:t xml:space="preserve">It is not </w:t>
      </w:r>
      <w:r w:rsidR="008C6417">
        <w:rPr>
          <w:sz w:val="22"/>
        </w:rPr>
        <w:t>only those working in</w:t>
      </w:r>
      <w:r>
        <w:rPr>
          <w:sz w:val="22"/>
        </w:rPr>
        <w:t xml:space="preserve"> the sciences </w:t>
      </w:r>
      <w:proofErr w:type="gramStart"/>
      <w:r>
        <w:rPr>
          <w:sz w:val="22"/>
        </w:rPr>
        <w:t>who</w:t>
      </w:r>
      <w:proofErr w:type="gramEnd"/>
      <w:r>
        <w:rPr>
          <w:sz w:val="22"/>
        </w:rPr>
        <w:t xml:space="preserve"> must respond to and think with their subject matter. T</w:t>
      </w:r>
      <w:r w:rsidR="002A5301" w:rsidRPr="00CE0087">
        <w:rPr>
          <w:sz w:val="22"/>
        </w:rPr>
        <w:t>hose of us engaged in study</w:t>
      </w:r>
      <w:r>
        <w:rPr>
          <w:sz w:val="22"/>
        </w:rPr>
        <w:t>, research and practice in</w:t>
      </w:r>
      <w:r w:rsidR="002A5301" w:rsidRPr="00CE0087">
        <w:rPr>
          <w:sz w:val="22"/>
        </w:rPr>
        <w:t xml:space="preserve"> the </w:t>
      </w:r>
      <w:r>
        <w:rPr>
          <w:sz w:val="22"/>
        </w:rPr>
        <w:t xml:space="preserve">arts and </w:t>
      </w:r>
      <w:r w:rsidR="002A5301" w:rsidRPr="00CE0087">
        <w:rPr>
          <w:sz w:val="22"/>
        </w:rPr>
        <w:t xml:space="preserve">humanities will be familiar with the experience of resistance and ambiguity of the material with which we are dealing. Much as we might </w:t>
      </w:r>
      <w:r w:rsidR="002A5301" w:rsidRPr="00CE0087">
        <w:rPr>
          <w:i/>
          <w:sz w:val="22"/>
        </w:rPr>
        <w:t>like</w:t>
      </w:r>
      <w:r w:rsidR="002A5301" w:rsidRPr="00CE0087">
        <w:rPr>
          <w:sz w:val="22"/>
        </w:rPr>
        <w:t xml:space="preserve"> to make an argument or offer a particular interpretation, the material can be recalcitrant; it won’t be forced into a position it doesn’t ‘like’. We undertake careful processes of writing and of editing</w:t>
      </w:r>
      <w:r w:rsidR="00C31105">
        <w:rPr>
          <w:sz w:val="22"/>
        </w:rPr>
        <w:t>. W</w:t>
      </w:r>
      <w:r w:rsidR="002A5301" w:rsidRPr="00CE0087">
        <w:rPr>
          <w:sz w:val="22"/>
        </w:rPr>
        <w:t>e work to develop ideas, interpretations and arguments</w:t>
      </w:r>
      <w:r w:rsidR="00C31105">
        <w:rPr>
          <w:sz w:val="22"/>
        </w:rPr>
        <w:t>. W</w:t>
      </w:r>
      <w:r w:rsidR="002A5301" w:rsidRPr="00CE0087">
        <w:rPr>
          <w:sz w:val="22"/>
        </w:rPr>
        <w:t>e try to frame in a way that is generous and faithful to the subject matter</w:t>
      </w:r>
      <w:r w:rsidR="00C31105">
        <w:rPr>
          <w:sz w:val="22"/>
        </w:rPr>
        <w:t>.</w:t>
      </w:r>
      <w:r w:rsidR="002A5301" w:rsidRPr="00CE0087">
        <w:rPr>
          <w:sz w:val="22"/>
        </w:rPr>
        <w:t xml:space="preserve"> </w:t>
      </w:r>
      <w:r w:rsidR="00C31105">
        <w:rPr>
          <w:sz w:val="22"/>
        </w:rPr>
        <w:t>W</w:t>
      </w:r>
      <w:r w:rsidR="002A5301" w:rsidRPr="00CE0087">
        <w:rPr>
          <w:sz w:val="22"/>
        </w:rPr>
        <w:t>e try to ensure some kind of continuity or resonance between different elements, even in forms of experimental writing or philosophy</w:t>
      </w:r>
      <w:r w:rsidR="00C31105">
        <w:rPr>
          <w:sz w:val="22"/>
        </w:rPr>
        <w:t>. W</w:t>
      </w:r>
      <w:r w:rsidR="002A5301" w:rsidRPr="00CE0087">
        <w:rPr>
          <w:sz w:val="22"/>
        </w:rPr>
        <w:t>e seek ways for heterogeneous elements to commu</w:t>
      </w:r>
      <w:r w:rsidR="002A5301">
        <w:rPr>
          <w:sz w:val="22"/>
        </w:rPr>
        <w:t>nicate in installation and film</w:t>
      </w:r>
      <w:r w:rsidR="00C31105">
        <w:rPr>
          <w:sz w:val="22"/>
        </w:rPr>
        <w:t xml:space="preserve">. This is a </w:t>
      </w:r>
      <w:r w:rsidR="002A5301">
        <w:rPr>
          <w:sz w:val="22"/>
        </w:rPr>
        <w:t xml:space="preserve">matter of co-construction and interaction that also involves an ethical dimension. </w:t>
      </w:r>
      <w:proofErr w:type="spellStart"/>
      <w:r w:rsidR="002A5301">
        <w:rPr>
          <w:sz w:val="22"/>
        </w:rPr>
        <w:t>Oyama</w:t>
      </w:r>
      <w:proofErr w:type="spellEnd"/>
      <w:r w:rsidR="002A5301">
        <w:rPr>
          <w:sz w:val="22"/>
        </w:rPr>
        <w:t xml:space="preserve"> says, </w:t>
      </w:r>
      <w:r w:rsidR="00B35BB8">
        <w:rPr>
          <w:sz w:val="22"/>
        </w:rPr>
        <w:t>“</w:t>
      </w:r>
      <w:r w:rsidR="002A5301">
        <w:rPr>
          <w:sz w:val="22"/>
        </w:rPr>
        <w:t xml:space="preserve">Our cognitive and ethical responsibilities are based on our </w:t>
      </w:r>
      <w:r w:rsidR="002A5301">
        <w:rPr>
          <w:i/>
          <w:sz w:val="22"/>
        </w:rPr>
        <w:t xml:space="preserve">response-ability, </w:t>
      </w:r>
      <w:r w:rsidR="002A5301">
        <w:rPr>
          <w:sz w:val="22"/>
        </w:rPr>
        <w:t>our capacity to know and to do, our active involveme</w:t>
      </w:r>
      <w:r w:rsidR="00821244">
        <w:rPr>
          <w:sz w:val="22"/>
        </w:rPr>
        <w:t>nt in knowledge and reflection</w:t>
      </w:r>
      <w:r w:rsidR="00B35BB8">
        <w:rPr>
          <w:sz w:val="22"/>
        </w:rPr>
        <w:t>”</w:t>
      </w:r>
      <w:r w:rsidR="00821244">
        <w:rPr>
          <w:sz w:val="22"/>
        </w:rPr>
        <w:t>.</w:t>
      </w:r>
      <w:r w:rsidR="00821244">
        <w:rPr>
          <w:rStyle w:val="Fodnotehenvisning"/>
          <w:sz w:val="22"/>
        </w:rPr>
        <w:footnoteReference w:id="38"/>
      </w:r>
      <w:r w:rsidR="00821244">
        <w:rPr>
          <w:sz w:val="22"/>
        </w:rPr>
        <w:t xml:space="preserve"> </w:t>
      </w:r>
      <w:r w:rsidR="00C31105">
        <w:rPr>
          <w:sz w:val="22"/>
        </w:rPr>
        <w:t xml:space="preserve">Irresponsible approaches might include making ungrounded claims and statements and refusing to look at alternative arguments in a field like philosophy. </w:t>
      </w:r>
    </w:p>
    <w:p w14:paraId="4CE80931" w14:textId="77777777" w:rsidR="00427BA8" w:rsidRDefault="00427BA8" w:rsidP="00F22861">
      <w:pPr>
        <w:jc w:val="both"/>
        <w:rPr>
          <w:rStyle w:val="a"/>
          <w:sz w:val="22"/>
        </w:rPr>
      </w:pPr>
    </w:p>
    <w:p w14:paraId="0680E69E" w14:textId="1A427629" w:rsidR="00C845A2" w:rsidRPr="00FC4C0B" w:rsidRDefault="00C845A2" w:rsidP="00F22861">
      <w:pPr>
        <w:jc w:val="both"/>
        <w:rPr>
          <w:i/>
          <w:sz w:val="22"/>
        </w:rPr>
      </w:pPr>
      <w:r w:rsidRPr="00CE0087">
        <w:rPr>
          <w:sz w:val="22"/>
        </w:rPr>
        <w:t xml:space="preserve">Isabelle </w:t>
      </w:r>
      <w:proofErr w:type="spellStart"/>
      <w:r w:rsidRPr="00CE0087">
        <w:rPr>
          <w:sz w:val="22"/>
        </w:rPr>
        <w:t>Stengers</w:t>
      </w:r>
      <w:proofErr w:type="spellEnd"/>
      <w:r w:rsidR="00821244">
        <w:rPr>
          <w:rStyle w:val="Fodnotehenvisning"/>
          <w:sz w:val="22"/>
        </w:rPr>
        <w:footnoteReference w:id="39"/>
      </w:r>
      <w:r>
        <w:rPr>
          <w:sz w:val="22"/>
        </w:rPr>
        <w:t xml:space="preserve">, Susan </w:t>
      </w:r>
      <w:proofErr w:type="spellStart"/>
      <w:r>
        <w:rPr>
          <w:sz w:val="22"/>
        </w:rPr>
        <w:t>Oyama</w:t>
      </w:r>
      <w:proofErr w:type="spellEnd"/>
      <w:r w:rsidRPr="00CE0087">
        <w:rPr>
          <w:sz w:val="22"/>
        </w:rPr>
        <w:t xml:space="preserve"> and Elizabeth Grosz</w:t>
      </w:r>
      <w:r w:rsidR="00ED429E">
        <w:rPr>
          <w:rStyle w:val="Fodnotehenvisning"/>
          <w:sz w:val="22"/>
        </w:rPr>
        <w:footnoteReference w:id="40"/>
      </w:r>
      <w:r>
        <w:rPr>
          <w:sz w:val="22"/>
        </w:rPr>
        <w:t xml:space="preserve"> offer alternative visions of philosophy</w:t>
      </w:r>
      <w:r w:rsidRPr="00CE0087">
        <w:rPr>
          <w:sz w:val="22"/>
        </w:rPr>
        <w:t xml:space="preserve"> </w:t>
      </w:r>
      <w:r>
        <w:rPr>
          <w:sz w:val="22"/>
        </w:rPr>
        <w:t xml:space="preserve">that are born of </w:t>
      </w:r>
      <w:r w:rsidRPr="00CE0087">
        <w:rPr>
          <w:sz w:val="22"/>
        </w:rPr>
        <w:t>different ways of thinking about method and understanding in the sciences and the humanities</w:t>
      </w:r>
      <w:r>
        <w:rPr>
          <w:sz w:val="22"/>
        </w:rPr>
        <w:t xml:space="preserve">, </w:t>
      </w:r>
      <w:r w:rsidRPr="00CE0087">
        <w:rPr>
          <w:sz w:val="22"/>
        </w:rPr>
        <w:t xml:space="preserve">drawn from practice and description. Rather than policing disciplinary boundaries, </w:t>
      </w:r>
      <w:r>
        <w:rPr>
          <w:sz w:val="22"/>
        </w:rPr>
        <w:t>these</w:t>
      </w:r>
      <w:r w:rsidRPr="00CE0087">
        <w:rPr>
          <w:sz w:val="22"/>
        </w:rPr>
        <w:t xml:space="preserve"> thinkers are critical of dominant description</w:t>
      </w:r>
      <w:r>
        <w:rPr>
          <w:sz w:val="22"/>
        </w:rPr>
        <w:t>s</w:t>
      </w:r>
      <w:r w:rsidRPr="00CE0087">
        <w:rPr>
          <w:sz w:val="22"/>
        </w:rPr>
        <w:t xml:space="preserve"> of the practice of research and</w:t>
      </w:r>
      <w:r>
        <w:rPr>
          <w:sz w:val="22"/>
        </w:rPr>
        <w:t xml:space="preserve"> thought in these domains. Such</w:t>
      </w:r>
      <w:r w:rsidRPr="00CE0087">
        <w:rPr>
          <w:sz w:val="22"/>
        </w:rPr>
        <w:t xml:space="preserve"> insights are particularly useful as we reflect once more on what it is that we </w:t>
      </w:r>
      <w:r w:rsidRPr="00CE0087">
        <w:rPr>
          <w:i/>
          <w:sz w:val="22"/>
        </w:rPr>
        <w:t>do</w:t>
      </w:r>
      <w:r w:rsidRPr="00CE0087">
        <w:rPr>
          <w:sz w:val="22"/>
        </w:rPr>
        <w:t xml:space="preserve"> in the humaniti</w:t>
      </w:r>
      <w:r>
        <w:rPr>
          <w:sz w:val="22"/>
        </w:rPr>
        <w:t>es</w:t>
      </w:r>
      <w:r w:rsidR="00C31105">
        <w:rPr>
          <w:sz w:val="22"/>
        </w:rPr>
        <w:t>, the arts,</w:t>
      </w:r>
      <w:r>
        <w:rPr>
          <w:sz w:val="22"/>
        </w:rPr>
        <w:t xml:space="preserve"> and the sciences. Of value are</w:t>
      </w:r>
      <w:r w:rsidRPr="00CE0087">
        <w:rPr>
          <w:sz w:val="22"/>
        </w:rPr>
        <w:t xml:space="preserve"> sustained engagement, the cultivation of skilfulness, </w:t>
      </w:r>
      <w:r>
        <w:rPr>
          <w:sz w:val="22"/>
        </w:rPr>
        <w:t>the capacity for judgement and the kind of</w:t>
      </w:r>
      <w:r w:rsidRPr="00CE0087">
        <w:rPr>
          <w:sz w:val="22"/>
        </w:rPr>
        <w:t xml:space="preserve"> creative responsiveness that slowly emerges through </w:t>
      </w:r>
      <w:r>
        <w:rPr>
          <w:sz w:val="22"/>
        </w:rPr>
        <w:t xml:space="preserve">deep and intimate </w:t>
      </w:r>
      <w:r w:rsidRPr="00CE0087">
        <w:rPr>
          <w:sz w:val="22"/>
        </w:rPr>
        <w:t>familiarity with a subject matter</w:t>
      </w:r>
      <w:r w:rsidR="00C31105">
        <w:rPr>
          <w:sz w:val="22"/>
        </w:rPr>
        <w:t xml:space="preserve"> that in turn may allow for trans-disciplinary encounters</w:t>
      </w:r>
      <w:r w:rsidRPr="00CE0087">
        <w:rPr>
          <w:sz w:val="22"/>
        </w:rPr>
        <w:t>. This kind of skilfulness cannot be taught in abstraction from content nor is it readily transferable to o</w:t>
      </w:r>
      <w:r>
        <w:rPr>
          <w:sz w:val="22"/>
        </w:rPr>
        <w:t xml:space="preserve">ther domains. Rather, </w:t>
      </w:r>
      <w:r w:rsidRPr="00CE0087">
        <w:rPr>
          <w:sz w:val="22"/>
        </w:rPr>
        <w:t xml:space="preserve">the sustained interplay and dynamic relation with subject matter is creative of an </w:t>
      </w:r>
      <w:proofErr w:type="spellStart"/>
      <w:r w:rsidRPr="00CE0087">
        <w:rPr>
          <w:sz w:val="22"/>
        </w:rPr>
        <w:t>immanent</w:t>
      </w:r>
      <w:proofErr w:type="spellEnd"/>
      <w:r w:rsidRPr="00CE0087">
        <w:rPr>
          <w:sz w:val="22"/>
        </w:rPr>
        <w:t xml:space="preserve"> process of thought that is attentive to the </w:t>
      </w:r>
      <w:r w:rsidRPr="00C845A2">
        <w:rPr>
          <w:i/>
          <w:sz w:val="22"/>
        </w:rPr>
        <w:t>matter</w:t>
      </w:r>
      <w:r w:rsidRPr="00CE0087">
        <w:rPr>
          <w:sz w:val="22"/>
        </w:rPr>
        <w:t xml:space="preserve"> of thought.</w:t>
      </w:r>
      <w:r>
        <w:rPr>
          <w:sz w:val="22"/>
        </w:rPr>
        <w:t xml:space="preserve"> </w:t>
      </w:r>
      <w:r w:rsidR="00C31105">
        <w:rPr>
          <w:sz w:val="22"/>
        </w:rPr>
        <w:t>When</w:t>
      </w:r>
      <w:r>
        <w:rPr>
          <w:sz w:val="22"/>
        </w:rPr>
        <w:t xml:space="preserve"> </w:t>
      </w:r>
      <w:proofErr w:type="spellStart"/>
      <w:r>
        <w:rPr>
          <w:sz w:val="22"/>
        </w:rPr>
        <w:t>Oyama</w:t>
      </w:r>
      <w:proofErr w:type="spellEnd"/>
      <w:r>
        <w:rPr>
          <w:sz w:val="22"/>
        </w:rPr>
        <w:t xml:space="preserve"> argues against reductionist conceptions of genes as sole causal </w:t>
      </w:r>
      <w:r w:rsidR="0035457A">
        <w:rPr>
          <w:sz w:val="22"/>
        </w:rPr>
        <w:t>factors or drivers of evolution</w:t>
      </w:r>
      <w:r>
        <w:rPr>
          <w:sz w:val="22"/>
        </w:rPr>
        <w:t xml:space="preserve"> in favour of a nuanced, context-driven constructivist interaction model of evolution</w:t>
      </w:r>
      <w:r w:rsidR="00796BF2">
        <w:rPr>
          <w:sz w:val="22"/>
        </w:rPr>
        <w:t>,</w:t>
      </w:r>
      <w:r>
        <w:rPr>
          <w:sz w:val="22"/>
        </w:rPr>
        <w:t xml:space="preserve"> she argues </w:t>
      </w:r>
      <w:r w:rsidR="00C31105">
        <w:rPr>
          <w:sz w:val="22"/>
        </w:rPr>
        <w:t xml:space="preserve">that this </w:t>
      </w:r>
      <w:r>
        <w:rPr>
          <w:sz w:val="22"/>
        </w:rPr>
        <w:t xml:space="preserve">is more </w:t>
      </w:r>
      <w:r w:rsidR="00C31105">
        <w:rPr>
          <w:sz w:val="22"/>
        </w:rPr>
        <w:t xml:space="preserve">faithful </w:t>
      </w:r>
      <w:r>
        <w:rPr>
          <w:sz w:val="22"/>
        </w:rPr>
        <w:t xml:space="preserve">to the complex and material development of living beings, whilst </w:t>
      </w:r>
      <w:proofErr w:type="spellStart"/>
      <w:r>
        <w:rPr>
          <w:sz w:val="22"/>
        </w:rPr>
        <w:t>Grosz’s</w:t>
      </w:r>
      <w:proofErr w:type="spellEnd"/>
      <w:r>
        <w:rPr>
          <w:sz w:val="22"/>
        </w:rPr>
        <w:t xml:space="preserve"> turn to Darwinian sexual selection allows her to frame the pursuit of understanding in the sciences and humanities in a language that is non-instrumental: just as the bird cannot justify its song, it is a madness to ask humans to justify the many forms of expression and interest that are constitutive of this human animal as </w:t>
      </w:r>
      <w:r w:rsidR="005E1221">
        <w:rPr>
          <w:sz w:val="22"/>
        </w:rPr>
        <w:t xml:space="preserve">a </w:t>
      </w:r>
      <w:r>
        <w:rPr>
          <w:sz w:val="22"/>
        </w:rPr>
        <w:t xml:space="preserve">linguistic, cultural, social, artistic, creative form of life. </w:t>
      </w:r>
    </w:p>
    <w:p w14:paraId="66E551D3" w14:textId="77777777" w:rsidR="00C845A2" w:rsidRPr="00CE0087" w:rsidRDefault="00C845A2" w:rsidP="00F22861">
      <w:pPr>
        <w:jc w:val="both"/>
        <w:rPr>
          <w:rStyle w:val="a"/>
          <w:sz w:val="22"/>
        </w:rPr>
      </w:pPr>
    </w:p>
    <w:p w14:paraId="6EFD8C54" w14:textId="5DB48585" w:rsidR="00427BA8" w:rsidRPr="00D70885" w:rsidRDefault="006B4693" w:rsidP="00B35BB8">
      <w:pPr>
        <w:jc w:val="both"/>
        <w:outlineLvl w:val="0"/>
        <w:rPr>
          <w:rFonts w:ascii="Arial" w:hAnsi="Arial"/>
          <w:b/>
          <w:sz w:val="22"/>
        </w:rPr>
      </w:pPr>
      <w:r>
        <w:rPr>
          <w:rFonts w:ascii="Arial" w:hAnsi="Arial"/>
          <w:b/>
          <w:sz w:val="22"/>
        </w:rPr>
        <w:t>Material Thinking: The Matter of T</w:t>
      </w:r>
      <w:r w:rsidR="00427BA8" w:rsidRPr="00D70885">
        <w:rPr>
          <w:rFonts w:ascii="Arial" w:hAnsi="Arial"/>
          <w:b/>
          <w:sz w:val="22"/>
        </w:rPr>
        <w:t>hought</w:t>
      </w:r>
    </w:p>
    <w:p w14:paraId="4ED4B0D2" w14:textId="77777777" w:rsidR="00427BA8" w:rsidRPr="00CE0087" w:rsidRDefault="00427BA8" w:rsidP="00F22861">
      <w:pPr>
        <w:jc w:val="both"/>
        <w:rPr>
          <w:b/>
          <w:sz w:val="22"/>
        </w:rPr>
      </w:pPr>
    </w:p>
    <w:p w14:paraId="509053A9" w14:textId="2D6447AD" w:rsidR="00427BA8" w:rsidRPr="00CE0087" w:rsidRDefault="00B04D96" w:rsidP="00F22861">
      <w:pPr>
        <w:jc w:val="both"/>
        <w:rPr>
          <w:sz w:val="22"/>
        </w:rPr>
      </w:pPr>
      <w:r>
        <w:rPr>
          <w:sz w:val="22"/>
        </w:rPr>
        <w:t xml:space="preserve">It is important to become better attuned to the inhuman, pre-human and post-human dimensions of the human and to reflect on the risks of methodological imperialism by exploring the ways in which the sciences can become and have become ‘humanised’ through, for example storytelling. </w:t>
      </w:r>
      <w:r w:rsidR="00427BA8" w:rsidRPr="00CE0087">
        <w:rPr>
          <w:sz w:val="22"/>
        </w:rPr>
        <w:t xml:space="preserve">It would be not only </w:t>
      </w:r>
      <w:r w:rsidR="0035457A">
        <w:rPr>
          <w:sz w:val="22"/>
        </w:rPr>
        <w:t>an empirical error but a serious mistake</w:t>
      </w:r>
      <w:r w:rsidR="00427BA8" w:rsidRPr="00CE0087">
        <w:rPr>
          <w:sz w:val="22"/>
        </w:rPr>
        <w:t xml:space="preserve"> for the humanities to see </w:t>
      </w:r>
      <w:proofErr w:type="gramStart"/>
      <w:r w:rsidR="00427BA8" w:rsidRPr="00CE0087">
        <w:rPr>
          <w:sz w:val="22"/>
        </w:rPr>
        <w:t>itself</w:t>
      </w:r>
      <w:proofErr w:type="gramEnd"/>
      <w:r w:rsidR="00427BA8" w:rsidRPr="00CE0087">
        <w:rPr>
          <w:sz w:val="22"/>
        </w:rPr>
        <w:t xml:space="preserve"> as having a somehow separate and special vocation from the sciences</w:t>
      </w:r>
      <w:r w:rsidR="00796BF2">
        <w:rPr>
          <w:sz w:val="22"/>
        </w:rPr>
        <w:t>.</w:t>
      </w:r>
      <w:r w:rsidR="00427BA8" w:rsidRPr="00CE0087">
        <w:rPr>
          <w:sz w:val="22"/>
        </w:rPr>
        <w:t xml:space="preserve"> </w:t>
      </w:r>
      <w:r w:rsidR="00DE2F50">
        <w:rPr>
          <w:sz w:val="22"/>
        </w:rPr>
        <w:t xml:space="preserve">The </w:t>
      </w:r>
      <w:r>
        <w:rPr>
          <w:sz w:val="22"/>
        </w:rPr>
        <w:t xml:space="preserve">humanities </w:t>
      </w:r>
      <w:r w:rsidR="00DE2F50">
        <w:rPr>
          <w:sz w:val="22"/>
        </w:rPr>
        <w:t>have a tendency to</w:t>
      </w:r>
      <w:r w:rsidR="00DE2F50" w:rsidRPr="00CE0087">
        <w:rPr>
          <w:sz w:val="22"/>
        </w:rPr>
        <w:t xml:space="preserve"> </w:t>
      </w:r>
      <w:r w:rsidR="00427BA8" w:rsidRPr="00CE0087">
        <w:rPr>
          <w:sz w:val="22"/>
        </w:rPr>
        <w:t xml:space="preserve">make a </w:t>
      </w:r>
      <w:r w:rsidR="00427BA8" w:rsidRPr="00CE0087">
        <w:rPr>
          <w:i/>
          <w:sz w:val="22"/>
        </w:rPr>
        <w:t>tabula rasa</w:t>
      </w:r>
      <w:r w:rsidR="007146C7">
        <w:rPr>
          <w:sz w:val="22"/>
        </w:rPr>
        <w:t xml:space="preserve"> of their</w:t>
      </w:r>
      <w:r w:rsidR="00427BA8" w:rsidRPr="00CE0087">
        <w:rPr>
          <w:sz w:val="22"/>
        </w:rPr>
        <w:t xml:space="preserve"> forbearers</w:t>
      </w:r>
      <w:r w:rsidR="007146C7">
        <w:rPr>
          <w:sz w:val="22"/>
        </w:rPr>
        <w:t xml:space="preserve">, forgetting the human is animal, </w:t>
      </w:r>
      <w:r w:rsidR="00796BF2">
        <w:rPr>
          <w:sz w:val="22"/>
        </w:rPr>
        <w:t xml:space="preserve">a living organism, </w:t>
      </w:r>
      <w:r w:rsidR="007146C7">
        <w:rPr>
          <w:sz w:val="22"/>
        </w:rPr>
        <w:t xml:space="preserve">part of a long evolutionary lineage, co-emergent with multiple forms of life and matter, co-emergent with the technologies that change </w:t>
      </w:r>
      <w:r>
        <w:rPr>
          <w:sz w:val="22"/>
        </w:rPr>
        <w:t>human</w:t>
      </w:r>
      <w:r w:rsidR="007146C7">
        <w:rPr>
          <w:sz w:val="22"/>
        </w:rPr>
        <w:t xml:space="preserve"> capabilities</w:t>
      </w:r>
      <w:r w:rsidR="00427BA8" w:rsidRPr="00CE0087">
        <w:rPr>
          <w:sz w:val="22"/>
        </w:rPr>
        <w:t xml:space="preserve">. </w:t>
      </w:r>
      <w:r w:rsidR="00DE2F50">
        <w:rPr>
          <w:sz w:val="22"/>
        </w:rPr>
        <w:t xml:space="preserve">So too </w:t>
      </w:r>
      <w:proofErr w:type="spellStart"/>
      <w:r w:rsidR="00427BA8" w:rsidRPr="00CE0087">
        <w:rPr>
          <w:sz w:val="22"/>
        </w:rPr>
        <w:t>Stengers</w:t>
      </w:r>
      <w:proofErr w:type="spellEnd"/>
      <w:r w:rsidR="009F7AE0">
        <w:rPr>
          <w:sz w:val="22"/>
        </w:rPr>
        <w:t xml:space="preserve"> </w:t>
      </w:r>
      <w:r w:rsidR="00427BA8" w:rsidRPr="00CE0087">
        <w:rPr>
          <w:sz w:val="22"/>
        </w:rPr>
        <w:t xml:space="preserve">asks scientists to allow themselves to be </w:t>
      </w:r>
      <w:r w:rsidR="00B35BB8">
        <w:rPr>
          <w:sz w:val="22"/>
        </w:rPr>
        <w:t>“</w:t>
      </w:r>
      <w:r w:rsidR="00427BA8" w:rsidRPr="00CE0087">
        <w:rPr>
          <w:sz w:val="22"/>
        </w:rPr>
        <w:t>confronted with the manifold richness that they have for so long given themselves the right to forget. From now on, they will be faced with the problem that some have wanted to reserve for the human sciences – whether it be to elevate or to diminish them – the necessary di</w:t>
      </w:r>
      <w:r w:rsidR="006B4693">
        <w:rPr>
          <w:sz w:val="22"/>
        </w:rPr>
        <w:t xml:space="preserve">alogue with </w:t>
      </w:r>
      <w:proofErr w:type="spellStart"/>
      <w:r w:rsidR="006B4693">
        <w:rPr>
          <w:sz w:val="22"/>
        </w:rPr>
        <w:t>pre</w:t>
      </w:r>
      <w:r w:rsidR="00427BA8" w:rsidRPr="00CE0087">
        <w:rPr>
          <w:sz w:val="22"/>
        </w:rPr>
        <w:t>existing</w:t>
      </w:r>
      <w:proofErr w:type="spellEnd"/>
      <w:r w:rsidR="00427BA8" w:rsidRPr="00CE0087">
        <w:rPr>
          <w:sz w:val="22"/>
        </w:rPr>
        <w:t xml:space="preserve"> knowledges concerning situations familiar to everyone. No more than the sciences of society can the sciences of nature forget the social and historical roots that create the familiarity necessary for the theoretical </w:t>
      </w:r>
      <w:proofErr w:type="spellStart"/>
      <w:r w:rsidR="00427BA8" w:rsidRPr="00CE0087">
        <w:rPr>
          <w:sz w:val="22"/>
        </w:rPr>
        <w:t>mode</w:t>
      </w:r>
      <w:r w:rsidR="001B29E4">
        <w:rPr>
          <w:sz w:val="22"/>
        </w:rPr>
        <w:t>lising</w:t>
      </w:r>
      <w:proofErr w:type="spellEnd"/>
      <w:r w:rsidR="001B29E4">
        <w:rPr>
          <w:sz w:val="22"/>
        </w:rPr>
        <w:t xml:space="preserve"> of a concrete situation</w:t>
      </w:r>
      <w:r w:rsidR="00B35BB8">
        <w:rPr>
          <w:sz w:val="22"/>
        </w:rPr>
        <w:t>”</w:t>
      </w:r>
      <w:r w:rsidR="001B29E4">
        <w:rPr>
          <w:rStyle w:val="Fodnotehenvisning"/>
          <w:sz w:val="22"/>
        </w:rPr>
        <w:footnoteReference w:id="41"/>
      </w:r>
      <w:r w:rsidR="0035457A">
        <w:rPr>
          <w:sz w:val="22"/>
        </w:rPr>
        <w:t xml:space="preserve"> </w:t>
      </w:r>
      <w:r w:rsidR="00427BA8" w:rsidRPr="00CE0087">
        <w:rPr>
          <w:sz w:val="22"/>
        </w:rPr>
        <w:t xml:space="preserve">This she describes as a poetic listening to nature, using ‘poetic’ in its etymological sense. Her emphasis on the concrete situation is important here. The form of engagement is determined by the concrete materiality of the situation and it is </w:t>
      </w:r>
      <w:r w:rsidR="009F7AE0">
        <w:rPr>
          <w:sz w:val="22"/>
        </w:rPr>
        <w:t>important to</w:t>
      </w:r>
      <w:r w:rsidR="009F7AE0" w:rsidRPr="00CE0087">
        <w:rPr>
          <w:sz w:val="22"/>
        </w:rPr>
        <w:t xml:space="preserve"> </w:t>
      </w:r>
      <w:r w:rsidR="00427BA8" w:rsidRPr="00CE0087">
        <w:rPr>
          <w:sz w:val="22"/>
        </w:rPr>
        <w:t>consider</w:t>
      </w:r>
      <w:r w:rsidR="00427BA8">
        <w:rPr>
          <w:sz w:val="22"/>
        </w:rPr>
        <w:t xml:space="preserve"> reasons</w:t>
      </w:r>
      <w:r w:rsidR="009F7AE0">
        <w:rPr>
          <w:sz w:val="22"/>
        </w:rPr>
        <w:t xml:space="preserve"> that might be</w:t>
      </w:r>
      <w:r w:rsidR="00427BA8">
        <w:rPr>
          <w:sz w:val="22"/>
        </w:rPr>
        <w:t xml:space="preserve"> offered for decisions made to </w:t>
      </w:r>
      <w:proofErr w:type="gramStart"/>
      <w:r w:rsidR="00427BA8">
        <w:rPr>
          <w:sz w:val="22"/>
        </w:rPr>
        <w:t>bracket,</w:t>
      </w:r>
      <w:proofErr w:type="gramEnd"/>
      <w:r w:rsidR="00427BA8">
        <w:rPr>
          <w:sz w:val="22"/>
        </w:rPr>
        <w:t xml:space="preserve"> suspend or ignore aspects of that situation, such as the weather, or the soil. </w:t>
      </w:r>
    </w:p>
    <w:p w14:paraId="4BE65F66" w14:textId="77777777" w:rsidR="00427BA8" w:rsidRPr="00CE0087" w:rsidRDefault="00427BA8" w:rsidP="00F22861">
      <w:pPr>
        <w:jc w:val="both"/>
        <w:rPr>
          <w:sz w:val="22"/>
        </w:rPr>
      </w:pPr>
    </w:p>
    <w:p w14:paraId="5FE6A033" w14:textId="271CE52B" w:rsidR="00427BA8" w:rsidRDefault="007146C7" w:rsidP="00F22861">
      <w:pPr>
        <w:jc w:val="both"/>
        <w:rPr>
          <w:sz w:val="22"/>
        </w:rPr>
      </w:pPr>
      <w:r>
        <w:rPr>
          <w:sz w:val="22"/>
        </w:rPr>
        <w:t>Whatever subject matter we have come to love, we may</w:t>
      </w:r>
      <w:r w:rsidR="00427BA8" w:rsidRPr="00CE0087">
        <w:rPr>
          <w:sz w:val="22"/>
        </w:rPr>
        <w:t xml:space="preserve"> feel an affinity with the words of Shirley Strum when she says </w:t>
      </w:r>
      <w:r w:rsidR="00B35BB8">
        <w:rPr>
          <w:sz w:val="22"/>
        </w:rPr>
        <w:t>“</w:t>
      </w:r>
      <w:r w:rsidR="00427BA8" w:rsidRPr="00CE0087">
        <w:rPr>
          <w:sz w:val="22"/>
        </w:rPr>
        <w:t xml:space="preserve">to understand them I take the risk of loving </w:t>
      </w:r>
      <w:proofErr w:type="gramStart"/>
      <w:r w:rsidR="00427BA8" w:rsidRPr="00CE0087">
        <w:rPr>
          <w:sz w:val="22"/>
        </w:rPr>
        <w:t>them, that</w:t>
      </w:r>
      <w:proofErr w:type="gramEnd"/>
      <w:r w:rsidR="00427BA8" w:rsidRPr="00CE0087">
        <w:rPr>
          <w:sz w:val="22"/>
        </w:rPr>
        <w:t xml:space="preserve"> is of being transformed by them</w:t>
      </w:r>
      <w:r w:rsidR="00B35BB8">
        <w:rPr>
          <w:sz w:val="22"/>
        </w:rPr>
        <w:t>”</w:t>
      </w:r>
      <w:r w:rsidR="00427BA8" w:rsidRPr="00CE0087">
        <w:rPr>
          <w:sz w:val="22"/>
        </w:rPr>
        <w:t xml:space="preserve">. Strum </w:t>
      </w:r>
      <w:r>
        <w:rPr>
          <w:sz w:val="22"/>
        </w:rPr>
        <w:t xml:space="preserve">here speaks </w:t>
      </w:r>
      <w:r w:rsidR="00427BA8" w:rsidRPr="00CE0087">
        <w:rPr>
          <w:sz w:val="22"/>
        </w:rPr>
        <w:t xml:space="preserve">of her baboons in a way at odds with discourses that emphasise neutrality, a particular form of objectivity, </w:t>
      </w:r>
      <w:r>
        <w:rPr>
          <w:sz w:val="22"/>
        </w:rPr>
        <w:t>or a</w:t>
      </w:r>
      <w:r w:rsidR="00427BA8" w:rsidRPr="00CE0087">
        <w:rPr>
          <w:sz w:val="22"/>
        </w:rPr>
        <w:t xml:space="preserve"> replicable methodology. </w:t>
      </w:r>
      <w:r w:rsidR="00427BA8">
        <w:rPr>
          <w:sz w:val="22"/>
        </w:rPr>
        <w:t xml:space="preserve">In this respect, </w:t>
      </w:r>
      <w:proofErr w:type="spellStart"/>
      <w:r w:rsidR="00427BA8" w:rsidRPr="00CE0087">
        <w:rPr>
          <w:sz w:val="22"/>
        </w:rPr>
        <w:t>Stengers</w:t>
      </w:r>
      <w:proofErr w:type="spellEnd"/>
      <w:r w:rsidR="00427BA8" w:rsidRPr="00CE0087">
        <w:rPr>
          <w:sz w:val="22"/>
        </w:rPr>
        <w:t>’ descriptions of Nobel Prize winning molecular scientist, Barbara McClin</w:t>
      </w:r>
      <w:r w:rsidR="00427BA8">
        <w:rPr>
          <w:sz w:val="22"/>
        </w:rPr>
        <w:t xml:space="preserve">tock, </w:t>
      </w:r>
      <w:r>
        <w:rPr>
          <w:sz w:val="22"/>
        </w:rPr>
        <w:t xml:space="preserve">allow </w:t>
      </w:r>
      <w:r w:rsidR="00427BA8">
        <w:rPr>
          <w:sz w:val="22"/>
        </w:rPr>
        <w:t xml:space="preserve">us to articulate, and feel more confident in doing so, </w:t>
      </w:r>
      <w:r w:rsidR="00427BA8" w:rsidRPr="00CE0087">
        <w:rPr>
          <w:sz w:val="22"/>
        </w:rPr>
        <w:t xml:space="preserve">what it is that we do in the </w:t>
      </w:r>
      <w:r w:rsidR="00A804DA">
        <w:rPr>
          <w:sz w:val="22"/>
        </w:rPr>
        <w:t xml:space="preserve">arts and </w:t>
      </w:r>
      <w:r w:rsidR="00427BA8" w:rsidRPr="00CE0087">
        <w:rPr>
          <w:sz w:val="22"/>
        </w:rPr>
        <w:t>humanities and the qualities of the kinds of responsiveness that the materiality of our different disciplines requires</w:t>
      </w:r>
      <w:r>
        <w:rPr>
          <w:sz w:val="22"/>
        </w:rPr>
        <w:t>, rather than trying to translate our practices to fit into other languages</w:t>
      </w:r>
      <w:r w:rsidR="00A804DA">
        <w:rPr>
          <w:sz w:val="22"/>
        </w:rPr>
        <w:t xml:space="preserve"> and methodologies</w:t>
      </w:r>
      <w:r w:rsidR="00427BA8" w:rsidRPr="00CE0087">
        <w:rPr>
          <w:sz w:val="22"/>
        </w:rPr>
        <w:t xml:space="preserve">. </w:t>
      </w:r>
      <w:r w:rsidR="00427BA8">
        <w:rPr>
          <w:sz w:val="22"/>
        </w:rPr>
        <w:t>She</w:t>
      </w:r>
      <w:r w:rsidR="00427BA8" w:rsidRPr="00CE0087">
        <w:rPr>
          <w:sz w:val="22"/>
        </w:rPr>
        <w:t xml:space="preserve"> writes that </w:t>
      </w:r>
      <w:r w:rsidR="00B35BB8">
        <w:rPr>
          <w:sz w:val="22"/>
        </w:rPr>
        <w:t>“</w:t>
      </w:r>
      <w:r w:rsidR="00427BA8" w:rsidRPr="00CE0087">
        <w:rPr>
          <w:sz w:val="22"/>
        </w:rPr>
        <w:t>McClintock tracked down the singularity of the genetic material of the corn she was studying, she defined it with pr</w:t>
      </w:r>
      <w:r w:rsidR="006B4693">
        <w:rPr>
          <w:sz w:val="22"/>
        </w:rPr>
        <w:t>ecision and relentlessness [</w:t>
      </w:r>
      <w:proofErr w:type="gramStart"/>
      <w:r w:rsidR="006B4693">
        <w:rPr>
          <w:sz w:val="22"/>
        </w:rPr>
        <w:t>..]</w:t>
      </w:r>
      <w:proofErr w:type="gramEnd"/>
      <w:r w:rsidR="00B35BB8">
        <w:rPr>
          <w:sz w:val="22"/>
        </w:rPr>
        <w:t>”</w:t>
      </w:r>
      <w:r w:rsidR="00FB1299">
        <w:rPr>
          <w:rStyle w:val="Fodnotehenvisning"/>
          <w:sz w:val="22"/>
        </w:rPr>
        <w:footnoteReference w:id="42"/>
      </w:r>
      <w:r w:rsidR="00FB1299">
        <w:rPr>
          <w:sz w:val="22"/>
        </w:rPr>
        <w:t xml:space="preserve"> </w:t>
      </w:r>
      <w:r w:rsidR="00427BA8" w:rsidRPr="00CE0087">
        <w:rPr>
          <w:sz w:val="22"/>
        </w:rPr>
        <w:t>She names her “intense jubilation”, her empathy, which enabled her to descend ‘int</w:t>
      </w:r>
      <w:r w:rsidR="006B4693">
        <w:rPr>
          <w:sz w:val="22"/>
        </w:rPr>
        <w:t>o’ the cells she was examining</w:t>
      </w:r>
      <w:r w:rsidR="00B35BB8">
        <w:rPr>
          <w:sz w:val="22"/>
        </w:rPr>
        <w:t>”</w:t>
      </w:r>
      <w:r w:rsidR="006B4693">
        <w:rPr>
          <w:sz w:val="22"/>
        </w:rPr>
        <w:t xml:space="preserve">, </w:t>
      </w:r>
      <w:r w:rsidR="00427BA8" w:rsidRPr="00CE0087">
        <w:rPr>
          <w:sz w:val="22"/>
        </w:rPr>
        <w:t xml:space="preserve">allowing her to </w:t>
      </w:r>
      <w:r w:rsidR="00427BA8" w:rsidRPr="00CE0087">
        <w:rPr>
          <w:i/>
          <w:sz w:val="22"/>
        </w:rPr>
        <w:t>understand</w:t>
      </w:r>
      <w:r w:rsidR="00427BA8" w:rsidRPr="00CE0087">
        <w:rPr>
          <w:sz w:val="22"/>
        </w:rPr>
        <w:t xml:space="preserve"> in </w:t>
      </w:r>
      <w:r w:rsidR="00B35BB8">
        <w:rPr>
          <w:sz w:val="22"/>
        </w:rPr>
        <w:t>“</w:t>
      </w:r>
      <w:r w:rsidR="00427BA8" w:rsidRPr="00CE0087">
        <w:rPr>
          <w:sz w:val="22"/>
        </w:rPr>
        <w:t>the m</w:t>
      </w:r>
      <w:r w:rsidR="00427BA8">
        <w:rPr>
          <w:sz w:val="22"/>
        </w:rPr>
        <w:t>ost intimate sense of the term</w:t>
      </w:r>
      <w:r w:rsidR="00B35BB8">
        <w:rPr>
          <w:sz w:val="22"/>
        </w:rPr>
        <w:t>”</w:t>
      </w:r>
      <w:r w:rsidR="006B4693">
        <w:rPr>
          <w:sz w:val="22"/>
        </w:rPr>
        <w:t>.</w:t>
      </w:r>
      <w:r w:rsidR="00FB1299">
        <w:rPr>
          <w:rStyle w:val="Fodnotehenvisning"/>
          <w:sz w:val="22"/>
        </w:rPr>
        <w:footnoteReference w:id="43"/>
      </w:r>
      <w:r w:rsidR="006B4693">
        <w:rPr>
          <w:sz w:val="22"/>
        </w:rPr>
        <w:t xml:space="preserve"> McClintock laughed </w:t>
      </w:r>
      <w:r w:rsidR="00427BA8">
        <w:rPr>
          <w:sz w:val="22"/>
        </w:rPr>
        <w:t>when her corn surprised her. For her, c</w:t>
      </w:r>
      <w:r w:rsidR="006B4693">
        <w:rPr>
          <w:sz w:val="22"/>
        </w:rPr>
        <w:t>orn wa</w:t>
      </w:r>
      <w:r w:rsidR="00427BA8" w:rsidRPr="00CE0087">
        <w:rPr>
          <w:sz w:val="22"/>
        </w:rPr>
        <w:t xml:space="preserve">s capable of reacting. </w:t>
      </w:r>
    </w:p>
    <w:p w14:paraId="2D9C9DB2" w14:textId="77777777" w:rsidR="00427BA8" w:rsidRDefault="00427BA8" w:rsidP="00F22861">
      <w:pPr>
        <w:jc w:val="both"/>
        <w:rPr>
          <w:sz w:val="22"/>
        </w:rPr>
      </w:pPr>
    </w:p>
    <w:p w14:paraId="6C5A6EFB" w14:textId="5DC52A3F" w:rsidR="00427BA8" w:rsidRPr="00CE0087" w:rsidRDefault="00427BA8" w:rsidP="00F22861">
      <w:pPr>
        <w:jc w:val="both"/>
        <w:rPr>
          <w:sz w:val="22"/>
        </w:rPr>
      </w:pPr>
      <w:r w:rsidRPr="00CE0087">
        <w:rPr>
          <w:sz w:val="22"/>
        </w:rPr>
        <w:t xml:space="preserve">Evelyn Fox Keller writes that </w:t>
      </w:r>
      <w:r w:rsidR="00B35BB8">
        <w:rPr>
          <w:sz w:val="22"/>
        </w:rPr>
        <w:t>“</w:t>
      </w:r>
      <w:r w:rsidRPr="00CE0087">
        <w:rPr>
          <w:sz w:val="22"/>
        </w:rPr>
        <w:t>the research readily takes on the appearance of a conversation: the riposte has all the unexpectedness and charm that one finds in the response</w:t>
      </w:r>
      <w:r w:rsidR="001B3F98">
        <w:rPr>
          <w:sz w:val="22"/>
        </w:rPr>
        <w:t xml:space="preserve"> of an intelligent interlocutor</w:t>
      </w:r>
      <w:r w:rsidR="00B35BB8">
        <w:rPr>
          <w:sz w:val="22"/>
        </w:rPr>
        <w:t>”</w:t>
      </w:r>
      <w:r w:rsidR="00FB1299">
        <w:rPr>
          <w:rStyle w:val="Fodnotehenvisning"/>
          <w:sz w:val="22"/>
        </w:rPr>
        <w:footnoteReference w:id="44"/>
      </w:r>
      <w:r w:rsidR="00FB1299">
        <w:rPr>
          <w:sz w:val="22"/>
        </w:rPr>
        <w:t xml:space="preserve"> </w:t>
      </w:r>
      <w:r w:rsidRPr="00CE0087">
        <w:rPr>
          <w:sz w:val="22"/>
        </w:rPr>
        <w:t xml:space="preserve">McClintock says, </w:t>
      </w:r>
      <w:r w:rsidR="00B35BB8">
        <w:rPr>
          <w:sz w:val="22"/>
        </w:rPr>
        <w:t>“</w:t>
      </w:r>
      <w:r w:rsidRPr="00CE0087">
        <w:rPr>
          <w:sz w:val="22"/>
        </w:rPr>
        <w:t>If only we were con</w:t>
      </w:r>
      <w:r w:rsidR="00FB1299">
        <w:rPr>
          <w:sz w:val="22"/>
        </w:rPr>
        <w:t>tent to let the material speak</w:t>
      </w:r>
      <w:r w:rsidR="00B35BB8">
        <w:rPr>
          <w:sz w:val="22"/>
        </w:rPr>
        <w:t>”</w:t>
      </w:r>
      <w:r w:rsidR="00FB1299">
        <w:rPr>
          <w:rStyle w:val="Fodnotehenvisning"/>
          <w:sz w:val="22"/>
        </w:rPr>
        <w:footnoteReference w:id="45"/>
      </w:r>
      <w:r w:rsidR="00FB1299">
        <w:rPr>
          <w:sz w:val="22"/>
        </w:rPr>
        <w:t xml:space="preserve"> </w:t>
      </w:r>
      <w:r w:rsidRPr="00CE0087">
        <w:rPr>
          <w:sz w:val="22"/>
        </w:rPr>
        <w:t xml:space="preserve">but one has to learn how to ask the right questions and </w:t>
      </w:r>
      <w:r w:rsidR="009F7AE0">
        <w:rPr>
          <w:sz w:val="22"/>
        </w:rPr>
        <w:t xml:space="preserve">be </w:t>
      </w:r>
      <w:r w:rsidRPr="00CE0087">
        <w:rPr>
          <w:sz w:val="22"/>
        </w:rPr>
        <w:t xml:space="preserve">open to the material. </w:t>
      </w:r>
      <w:proofErr w:type="spellStart"/>
      <w:r w:rsidRPr="00CE0087">
        <w:rPr>
          <w:sz w:val="22"/>
        </w:rPr>
        <w:t>Sten</w:t>
      </w:r>
      <w:r w:rsidR="001B3F98">
        <w:rPr>
          <w:sz w:val="22"/>
        </w:rPr>
        <w:t>gers</w:t>
      </w:r>
      <w:proofErr w:type="spellEnd"/>
      <w:r w:rsidR="001B3F98">
        <w:rPr>
          <w:sz w:val="22"/>
        </w:rPr>
        <w:t xml:space="preserve"> contemplates this saying, </w:t>
      </w:r>
      <w:r w:rsidR="00B35BB8">
        <w:rPr>
          <w:sz w:val="22"/>
        </w:rPr>
        <w:t>“</w:t>
      </w:r>
      <w:r w:rsidRPr="00CE0087">
        <w:rPr>
          <w:sz w:val="22"/>
        </w:rPr>
        <w:t xml:space="preserve">But from the moment she chose to no longer make use </w:t>
      </w:r>
      <w:r w:rsidR="00F84890">
        <w:rPr>
          <w:sz w:val="22"/>
        </w:rPr>
        <w:t>of corn but to learn ‘with’ it…</w:t>
      </w:r>
      <w:r w:rsidR="00B35BB8">
        <w:rPr>
          <w:sz w:val="22"/>
        </w:rPr>
        <w:t>”</w:t>
      </w:r>
      <w:r w:rsidR="00FB1299">
        <w:rPr>
          <w:rStyle w:val="Fodnotehenvisning"/>
          <w:sz w:val="22"/>
        </w:rPr>
        <w:footnoteReference w:id="46"/>
      </w:r>
      <w:r w:rsidRPr="00CE0087">
        <w:rPr>
          <w:sz w:val="22"/>
        </w:rPr>
        <w:t xml:space="preserve">It is one of the tasks of any practitioner to come to learn </w:t>
      </w:r>
      <w:r w:rsidRPr="00CE0087">
        <w:rPr>
          <w:i/>
          <w:sz w:val="22"/>
        </w:rPr>
        <w:t>with</w:t>
      </w:r>
      <w:r w:rsidRPr="00CE0087">
        <w:rPr>
          <w:sz w:val="22"/>
        </w:rPr>
        <w:t xml:space="preserve"> the material, be it archives, a body in a yoga posture, the grain of wood or the genesis of a philosophical concept. This develops through experience, sustained engagement and openness to a wider range of factors than might be deemed relevant to understanding in a specialised domain. </w:t>
      </w:r>
    </w:p>
    <w:p w14:paraId="646091A9" w14:textId="77777777" w:rsidR="00427BA8" w:rsidRPr="00CE0087" w:rsidRDefault="00427BA8" w:rsidP="00F22861">
      <w:pPr>
        <w:jc w:val="both"/>
        <w:rPr>
          <w:sz w:val="22"/>
        </w:rPr>
      </w:pPr>
    </w:p>
    <w:p w14:paraId="67C0F19C" w14:textId="4AE61ED4" w:rsidR="00427BA8" w:rsidRDefault="00427BA8" w:rsidP="00F22861">
      <w:pPr>
        <w:jc w:val="both"/>
        <w:rPr>
          <w:sz w:val="22"/>
        </w:rPr>
      </w:pPr>
      <w:r w:rsidRPr="00CE0087">
        <w:rPr>
          <w:sz w:val="22"/>
        </w:rPr>
        <w:t xml:space="preserve">In this respect, </w:t>
      </w:r>
      <w:proofErr w:type="spellStart"/>
      <w:r w:rsidRPr="00CE0087">
        <w:rPr>
          <w:sz w:val="22"/>
        </w:rPr>
        <w:t>Stengers</w:t>
      </w:r>
      <w:proofErr w:type="spellEnd"/>
      <w:r w:rsidRPr="00CE0087">
        <w:rPr>
          <w:sz w:val="22"/>
        </w:rPr>
        <w:t xml:space="preserve"> describes corn’s entangled histories, </w:t>
      </w:r>
      <w:r w:rsidR="00B35BB8">
        <w:rPr>
          <w:sz w:val="22"/>
        </w:rPr>
        <w:t>“</w:t>
      </w:r>
      <w:r w:rsidRPr="00CE0087">
        <w:rPr>
          <w:sz w:val="22"/>
        </w:rPr>
        <w:t>its reproduction, its development, [</w:t>
      </w:r>
      <w:proofErr w:type="gramStart"/>
      <w:r w:rsidRPr="00CE0087">
        <w:rPr>
          <w:sz w:val="22"/>
        </w:rPr>
        <w:t>..]</w:t>
      </w:r>
      <w:proofErr w:type="gramEnd"/>
      <w:r w:rsidRPr="00CE0087">
        <w:rPr>
          <w:sz w:val="22"/>
        </w:rPr>
        <w:t xml:space="preserve"> </w:t>
      </w:r>
      <w:proofErr w:type="gramStart"/>
      <w:r w:rsidRPr="00CE0087">
        <w:rPr>
          <w:sz w:val="22"/>
        </w:rPr>
        <w:t>its</w:t>
      </w:r>
      <w:proofErr w:type="gramEnd"/>
      <w:r w:rsidRPr="00CE0087">
        <w:rPr>
          <w:sz w:val="22"/>
        </w:rPr>
        <w:t xml:space="preserve"> growth in the fields where it experiences the sun, the cold</w:t>
      </w:r>
      <w:r w:rsidR="007146C7">
        <w:rPr>
          <w:sz w:val="22"/>
        </w:rPr>
        <w:t>,</w:t>
      </w:r>
      <w:r w:rsidRPr="00CE0087">
        <w:rPr>
          <w:sz w:val="22"/>
        </w:rPr>
        <w:t xml:space="preserve"> predatory insects and so on</w:t>
      </w:r>
      <w:r w:rsidR="00B35BB8">
        <w:rPr>
          <w:sz w:val="22"/>
        </w:rPr>
        <w:t>”</w:t>
      </w:r>
      <w:r w:rsidRPr="00CE0087">
        <w:rPr>
          <w:sz w:val="22"/>
        </w:rPr>
        <w:t xml:space="preserve"> saying </w:t>
      </w:r>
      <w:r w:rsidR="00B35BB8">
        <w:rPr>
          <w:sz w:val="22"/>
        </w:rPr>
        <w:t>“</w:t>
      </w:r>
      <w:r w:rsidRPr="00CE0087">
        <w:rPr>
          <w:sz w:val="22"/>
        </w:rPr>
        <w:t>Indeed scientists should not accumulate ‘neutral’ observations about corn, but learn from it which questions to ask it, because like every historical being, corn is a singular being. And to say ‘corn’ is already to say too much [</w:t>
      </w:r>
      <w:proofErr w:type="gramStart"/>
      <w:r w:rsidRPr="00CE0087">
        <w:rPr>
          <w:sz w:val="22"/>
        </w:rPr>
        <w:t>..]</w:t>
      </w:r>
      <w:proofErr w:type="gramEnd"/>
      <w:r w:rsidR="00B35BB8">
        <w:rPr>
          <w:sz w:val="22"/>
        </w:rPr>
        <w:t>”</w:t>
      </w:r>
      <w:r w:rsidRPr="00CE0087">
        <w:rPr>
          <w:sz w:val="22"/>
        </w:rPr>
        <w:t xml:space="preserve"> </w:t>
      </w:r>
      <w:proofErr w:type="gramStart"/>
      <w:r w:rsidRPr="00CE0087">
        <w:rPr>
          <w:sz w:val="22"/>
        </w:rPr>
        <w:t>(</w:t>
      </w:r>
      <w:r w:rsidR="00F84890">
        <w:rPr>
          <w:sz w:val="22"/>
        </w:rPr>
        <w:t xml:space="preserve">ibid, </w:t>
      </w:r>
      <w:r w:rsidRPr="00CE0087">
        <w:rPr>
          <w:sz w:val="22"/>
        </w:rPr>
        <w:t>127).</w:t>
      </w:r>
      <w:proofErr w:type="gramEnd"/>
      <w:r w:rsidRPr="00CE0087">
        <w:rPr>
          <w:sz w:val="22"/>
        </w:rPr>
        <w:t xml:space="preserve"> What is special for her about the science of evolution </w:t>
      </w:r>
      <w:r w:rsidR="006B4693">
        <w:rPr>
          <w:sz w:val="22"/>
        </w:rPr>
        <w:t xml:space="preserve">is that it precludes </w:t>
      </w:r>
      <w:r w:rsidR="00DC1715">
        <w:rPr>
          <w:sz w:val="22"/>
        </w:rPr>
        <w:t xml:space="preserve">the </w:t>
      </w:r>
      <w:r w:rsidR="006B4693">
        <w:rPr>
          <w:sz w:val="22"/>
        </w:rPr>
        <w:t xml:space="preserve">power </w:t>
      </w:r>
      <w:r w:rsidRPr="00CE0087">
        <w:rPr>
          <w:sz w:val="22"/>
        </w:rPr>
        <w:t xml:space="preserve">to judge </w:t>
      </w:r>
      <w:r w:rsidRPr="007146C7">
        <w:rPr>
          <w:i/>
          <w:sz w:val="22"/>
        </w:rPr>
        <w:t>a priori</w:t>
      </w:r>
      <w:r w:rsidR="006B4693">
        <w:rPr>
          <w:sz w:val="22"/>
        </w:rPr>
        <w:t xml:space="preserve">, as it </w:t>
      </w:r>
      <w:r w:rsidRPr="00CE0087">
        <w:rPr>
          <w:sz w:val="22"/>
        </w:rPr>
        <w:t>dis</w:t>
      </w:r>
      <w:r w:rsidR="006B4693">
        <w:rPr>
          <w:sz w:val="22"/>
        </w:rPr>
        <w:t xml:space="preserve">covers the need to put to work a </w:t>
      </w:r>
      <w:r w:rsidRPr="00CE0087">
        <w:rPr>
          <w:sz w:val="22"/>
        </w:rPr>
        <w:t>more and more subtle</w:t>
      </w:r>
      <w:r w:rsidR="006B4693">
        <w:rPr>
          <w:sz w:val="22"/>
        </w:rPr>
        <w:t xml:space="preserve"> practice of storytelling</w:t>
      </w:r>
      <w:r>
        <w:rPr>
          <w:sz w:val="22"/>
        </w:rPr>
        <w:t xml:space="preserve">. </w:t>
      </w:r>
      <w:r w:rsidRPr="00CE0087">
        <w:rPr>
          <w:sz w:val="22"/>
        </w:rPr>
        <w:t>McClint</w:t>
      </w:r>
      <w:r>
        <w:rPr>
          <w:sz w:val="22"/>
        </w:rPr>
        <w:t xml:space="preserve">ock helps us to gain a sense of </w:t>
      </w:r>
      <w:r w:rsidR="007146C7">
        <w:rPr>
          <w:sz w:val="22"/>
        </w:rPr>
        <w:t>the practical effort</w:t>
      </w:r>
      <w:r>
        <w:rPr>
          <w:sz w:val="22"/>
        </w:rPr>
        <w:t xml:space="preserve"> </w:t>
      </w:r>
      <w:r w:rsidRPr="00403CBF">
        <w:rPr>
          <w:sz w:val="22"/>
        </w:rPr>
        <w:t>at</w:t>
      </w:r>
      <w:r>
        <w:rPr>
          <w:sz w:val="22"/>
        </w:rPr>
        <w:t xml:space="preserve"> understanding</w:t>
      </w:r>
      <w:r w:rsidRPr="00CE0087">
        <w:rPr>
          <w:sz w:val="22"/>
        </w:rPr>
        <w:t xml:space="preserve"> as exper</w:t>
      </w:r>
      <w:r w:rsidR="006B4693">
        <w:rPr>
          <w:sz w:val="22"/>
        </w:rPr>
        <w:t>ienced by the scientist, and her</w:t>
      </w:r>
      <w:r w:rsidRPr="00CE0087">
        <w:rPr>
          <w:sz w:val="22"/>
        </w:rPr>
        <w:t xml:space="preserve"> passionate commitment </w:t>
      </w:r>
      <w:r w:rsidRPr="00403CBF">
        <w:rPr>
          <w:sz w:val="22"/>
        </w:rPr>
        <w:t>to</w:t>
      </w:r>
      <w:r w:rsidRPr="00CE0087">
        <w:rPr>
          <w:sz w:val="22"/>
        </w:rPr>
        <w:t xml:space="preserve"> understanding </w:t>
      </w:r>
      <w:r w:rsidR="006B4693">
        <w:rPr>
          <w:sz w:val="22"/>
        </w:rPr>
        <w:t xml:space="preserve">her subject </w:t>
      </w:r>
      <w:r w:rsidRPr="00CE0087">
        <w:rPr>
          <w:sz w:val="22"/>
        </w:rPr>
        <w:t>without that understanding be</w:t>
      </w:r>
      <w:r w:rsidR="007146C7">
        <w:rPr>
          <w:sz w:val="22"/>
        </w:rPr>
        <w:t>com</w:t>
      </w:r>
      <w:r w:rsidRPr="00CE0087">
        <w:rPr>
          <w:sz w:val="22"/>
        </w:rPr>
        <w:t xml:space="preserve">ing subordinated to a further </w:t>
      </w:r>
      <w:r w:rsidR="009F7AE0">
        <w:rPr>
          <w:sz w:val="22"/>
        </w:rPr>
        <w:t xml:space="preserve">justificatory </w:t>
      </w:r>
      <w:r w:rsidRPr="00D70885">
        <w:rPr>
          <w:i/>
          <w:sz w:val="22"/>
        </w:rPr>
        <w:t>‘for’</w:t>
      </w:r>
      <w:r w:rsidRPr="00CE0087">
        <w:rPr>
          <w:sz w:val="22"/>
        </w:rPr>
        <w:t xml:space="preserve"> something else. </w:t>
      </w:r>
    </w:p>
    <w:p w14:paraId="7001D91E" w14:textId="77777777" w:rsidR="00427BA8" w:rsidRDefault="00427BA8" w:rsidP="00F22861">
      <w:pPr>
        <w:jc w:val="both"/>
        <w:rPr>
          <w:sz w:val="22"/>
        </w:rPr>
      </w:pPr>
    </w:p>
    <w:p w14:paraId="11F33FE0" w14:textId="1C6ACA91" w:rsidR="00427BA8" w:rsidRPr="00CE0087" w:rsidRDefault="00427BA8" w:rsidP="00F22861">
      <w:pPr>
        <w:jc w:val="both"/>
        <w:rPr>
          <w:sz w:val="22"/>
        </w:rPr>
      </w:pPr>
      <w:proofErr w:type="spellStart"/>
      <w:r w:rsidRPr="00CE0087">
        <w:rPr>
          <w:sz w:val="22"/>
        </w:rPr>
        <w:t>Grosz’</w:t>
      </w:r>
      <w:r w:rsidR="00DD7322">
        <w:rPr>
          <w:sz w:val="22"/>
        </w:rPr>
        <w:t>s</w:t>
      </w:r>
      <w:proofErr w:type="spellEnd"/>
      <w:r w:rsidRPr="00CE0087">
        <w:rPr>
          <w:sz w:val="22"/>
        </w:rPr>
        <w:t xml:space="preserve"> depiction of the humanities also resists instrumental language. She wonders what intellectual revolution would need to occur s</w:t>
      </w:r>
      <w:r w:rsidR="00DC1715">
        <w:rPr>
          <w:sz w:val="22"/>
        </w:rPr>
        <w:t>uch</w:t>
      </w:r>
      <w:r w:rsidRPr="00CE0087">
        <w:rPr>
          <w:sz w:val="22"/>
        </w:rPr>
        <w:t xml:space="preserve"> that humanities might be re-imagined </w:t>
      </w:r>
      <w:r w:rsidR="00B35BB8">
        <w:rPr>
          <w:sz w:val="22"/>
        </w:rPr>
        <w:t>“</w:t>
      </w:r>
      <w:r w:rsidRPr="00CE0087">
        <w:rPr>
          <w:sz w:val="22"/>
        </w:rPr>
        <w:t>to make man, and the various forms of man, one among many living things, and one force among many, rather than the aim and destination of all knowledges</w:t>
      </w:r>
      <w:r w:rsidR="002A5301">
        <w:rPr>
          <w:sz w:val="22"/>
        </w:rPr>
        <w:t xml:space="preserve"> [..]</w:t>
      </w:r>
      <w:r w:rsidR="00B35BB8">
        <w:rPr>
          <w:sz w:val="22"/>
        </w:rPr>
        <w:t>”.</w:t>
      </w:r>
      <w:r w:rsidR="00FB1299">
        <w:rPr>
          <w:rStyle w:val="Fodnotehenvisning"/>
          <w:sz w:val="22"/>
        </w:rPr>
        <w:footnoteReference w:id="47"/>
      </w:r>
      <w:r w:rsidR="00FB1299">
        <w:rPr>
          <w:sz w:val="22"/>
        </w:rPr>
        <w:t xml:space="preserve"> </w:t>
      </w:r>
      <w:r w:rsidRPr="00CE0087">
        <w:rPr>
          <w:sz w:val="22"/>
        </w:rPr>
        <w:t xml:space="preserve">As she seeks out the ‘inhuman’ in the humanities, and the affinities with other sentient beings (and for Bennett this also </w:t>
      </w:r>
      <w:r w:rsidR="002A5301">
        <w:rPr>
          <w:sz w:val="22"/>
        </w:rPr>
        <w:t>would</w:t>
      </w:r>
      <w:r w:rsidRPr="00CE0087">
        <w:rPr>
          <w:sz w:val="22"/>
        </w:rPr>
        <w:t xml:space="preserve"> include inorganic matter</w:t>
      </w:r>
      <w:r w:rsidR="002A5301">
        <w:rPr>
          <w:sz w:val="22"/>
        </w:rPr>
        <w:t xml:space="preserve"> from chemical compounds to basalt or tin cans</w:t>
      </w:r>
      <w:r w:rsidRPr="00CE0087">
        <w:rPr>
          <w:sz w:val="22"/>
        </w:rPr>
        <w:t xml:space="preserve">), she does not try to justify the humanities by appealing to their utility in cultivating character, citizenship or competence. The expressiveness of diverse forms of life, as described in the writings of Darwin, </w:t>
      </w:r>
      <w:r>
        <w:rPr>
          <w:sz w:val="22"/>
        </w:rPr>
        <w:t>leads her to ask:</w:t>
      </w:r>
      <w:r w:rsidRPr="00CE0087">
        <w:rPr>
          <w:sz w:val="22"/>
        </w:rPr>
        <w:t xml:space="preserve"> What if the borderline between the humanities and sciences were to become less secure, more open, more in</w:t>
      </w:r>
      <w:r>
        <w:rPr>
          <w:sz w:val="22"/>
        </w:rPr>
        <w:t>teractive without being reduction</w:t>
      </w:r>
      <w:r w:rsidRPr="00CE0087">
        <w:rPr>
          <w:sz w:val="22"/>
        </w:rPr>
        <w:t xml:space="preserve">ist on either side? </w:t>
      </w:r>
      <w:proofErr w:type="spellStart"/>
      <w:r w:rsidRPr="00CE0087">
        <w:rPr>
          <w:sz w:val="22"/>
        </w:rPr>
        <w:t>Oyama</w:t>
      </w:r>
      <w:proofErr w:type="spellEnd"/>
      <w:r>
        <w:rPr>
          <w:sz w:val="22"/>
        </w:rPr>
        <w:t>,</w:t>
      </w:r>
      <w:r w:rsidR="009F7AE0">
        <w:rPr>
          <w:sz w:val="22"/>
        </w:rPr>
        <w:t xml:space="preserve"> </w:t>
      </w:r>
      <w:proofErr w:type="spellStart"/>
      <w:r w:rsidR="009F7AE0">
        <w:rPr>
          <w:sz w:val="22"/>
        </w:rPr>
        <w:t>Ingold</w:t>
      </w:r>
      <w:proofErr w:type="spellEnd"/>
      <w:r w:rsidR="009F7AE0">
        <w:rPr>
          <w:sz w:val="22"/>
        </w:rPr>
        <w:t>,</w:t>
      </w:r>
      <w:r>
        <w:rPr>
          <w:sz w:val="22"/>
        </w:rPr>
        <w:t xml:space="preserve"> Grosz</w:t>
      </w:r>
      <w:r w:rsidRPr="00CE0087">
        <w:rPr>
          <w:sz w:val="22"/>
        </w:rPr>
        <w:t xml:space="preserve"> and </w:t>
      </w:r>
      <w:r w:rsidR="0035457A">
        <w:rPr>
          <w:sz w:val="22"/>
        </w:rPr>
        <w:t xml:space="preserve">Fox </w:t>
      </w:r>
      <w:r w:rsidRPr="00CE0087">
        <w:rPr>
          <w:sz w:val="22"/>
        </w:rPr>
        <w:t>Keller invite us to begin to dismantle a nature/culture divide or a gene/organism divide that abstract</w:t>
      </w:r>
      <w:r>
        <w:rPr>
          <w:sz w:val="22"/>
        </w:rPr>
        <w:t>s</w:t>
      </w:r>
      <w:r w:rsidRPr="00CE0087">
        <w:rPr>
          <w:sz w:val="22"/>
        </w:rPr>
        <w:t xml:space="preserve"> certain entities, giving them causative power, as though they could exist beyond the material world with which they co-evolve. What if we were to become better attuned to the eroticism of language, the sensuality it invites, be in birdsong or poetry, and the pleasures it create? Grosz turns to Darwin’s writings on sexual selection </w:t>
      </w:r>
      <w:r w:rsidR="00580FDF">
        <w:rPr>
          <w:sz w:val="22"/>
        </w:rPr>
        <w:t>to show how</w:t>
      </w:r>
      <w:r w:rsidRPr="00CE0087">
        <w:rPr>
          <w:sz w:val="22"/>
        </w:rPr>
        <w:t xml:space="preserve"> Darwin clearly distinguishes sexual selection from natural selection. Tool-making, seduction, language, decoration, love, curiosity, pleasure are not specific to the human species and to reflect on these areas of common endeavour and experience allows us to dismantle the abyss of separation between the human and the animal. But it also gives us, if we explore it, the opportunity to see </w:t>
      </w:r>
      <w:r>
        <w:rPr>
          <w:sz w:val="22"/>
        </w:rPr>
        <w:t>that the efforts to justify</w:t>
      </w:r>
      <w:r w:rsidRPr="00CE0087">
        <w:rPr>
          <w:sz w:val="22"/>
        </w:rPr>
        <w:t xml:space="preserve"> these forms of endeavour</w:t>
      </w:r>
      <w:r>
        <w:rPr>
          <w:sz w:val="22"/>
        </w:rPr>
        <w:t>,</w:t>
      </w:r>
      <w:r w:rsidRPr="00CE0087">
        <w:rPr>
          <w:sz w:val="22"/>
        </w:rPr>
        <w:t xml:space="preserve"> by appealing to other reasons or causes for their existence, </w:t>
      </w:r>
      <w:r>
        <w:rPr>
          <w:sz w:val="22"/>
        </w:rPr>
        <w:t xml:space="preserve">would be to force one into a position that </w:t>
      </w:r>
      <w:r w:rsidRPr="00CE0087">
        <w:rPr>
          <w:sz w:val="22"/>
        </w:rPr>
        <w:t xml:space="preserve">life itself </w:t>
      </w:r>
      <w:r>
        <w:rPr>
          <w:sz w:val="22"/>
        </w:rPr>
        <w:t>demands</w:t>
      </w:r>
      <w:r w:rsidRPr="00CE0087">
        <w:rPr>
          <w:sz w:val="22"/>
        </w:rPr>
        <w:t xml:space="preserve"> justification. Engagement in these activities is part of what it is to be a living human being, just as the bird sings or the beaver builds a dam. </w:t>
      </w:r>
    </w:p>
    <w:p w14:paraId="46DA0340" w14:textId="6D68267B" w:rsidR="00427BA8" w:rsidRPr="00CE0087" w:rsidRDefault="00427BA8" w:rsidP="00F22861">
      <w:pPr>
        <w:jc w:val="both"/>
        <w:rPr>
          <w:sz w:val="22"/>
        </w:rPr>
      </w:pPr>
      <w:r w:rsidRPr="00CE0087">
        <w:rPr>
          <w:sz w:val="22"/>
        </w:rPr>
        <w:t xml:space="preserve"> </w:t>
      </w:r>
    </w:p>
    <w:p w14:paraId="0EFE8A17" w14:textId="71B05907" w:rsidR="009D5460" w:rsidRDefault="006B4693" w:rsidP="00B35BB8">
      <w:pPr>
        <w:jc w:val="both"/>
        <w:outlineLvl w:val="0"/>
        <w:rPr>
          <w:rFonts w:ascii="Arial" w:hAnsi="Arial"/>
          <w:b/>
          <w:sz w:val="22"/>
        </w:rPr>
      </w:pPr>
      <w:r>
        <w:rPr>
          <w:rFonts w:ascii="Arial" w:hAnsi="Arial"/>
          <w:b/>
          <w:sz w:val="22"/>
        </w:rPr>
        <w:t>In Conversation with Matter</w:t>
      </w:r>
    </w:p>
    <w:p w14:paraId="15544CC5" w14:textId="77777777" w:rsidR="006B4693" w:rsidRDefault="006B4693" w:rsidP="00F22861">
      <w:pPr>
        <w:jc w:val="both"/>
        <w:rPr>
          <w:sz w:val="22"/>
        </w:rPr>
      </w:pPr>
    </w:p>
    <w:p w14:paraId="02F0F7FE" w14:textId="0F8E3E0D" w:rsidR="00427BA8" w:rsidRPr="00CE0087" w:rsidRDefault="00427BA8" w:rsidP="00F22861">
      <w:pPr>
        <w:jc w:val="both"/>
        <w:rPr>
          <w:sz w:val="22"/>
        </w:rPr>
      </w:pPr>
      <w:r w:rsidRPr="00CE0087">
        <w:rPr>
          <w:sz w:val="22"/>
        </w:rPr>
        <w:t>In the sciences and the humanities, we develop skilfulness through engagement and conversation with our subject matter.</w:t>
      </w:r>
      <w:r w:rsidR="009F7AE0">
        <w:rPr>
          <w:sz w:val="22"/>
        </w:rPr>
        <w:t xml:space="preserve"> T</w:t>
      </w:r>
      <w:r w:rsidR="003E18BD">
        <w:rPr>
          <w:sz w:val="22"/>
        </w:rPr>
        <w:t xml:space="preserve">hinking </w:t>
      </w:r>
      <w:r w:rsidR="003E18BD" w:rsidRPr="008C6417">
        <w:rPr>
          <w:i/>
          <w:sz w:val="22"/>
        </w:rPr>
        <w:t>with</w:t>
      </w:r>
      <w:r w:rsidR="009F7AE0">
        <w:rPr>
          <w:sz w:val="22"/>
        </w:rPr>
        <w:t xml:space="preserve"> something undoes the notion </w:t>
      </w:r>
      <w:r w:rsidR="003E18BD">
        <w:rPr>
          <w:sz w:val="22"/>
        </w:rPr>
        <w:t xml:space="preserve">that thinking </w:t>
      </w:r>
      <w:r w:rsidR="009F7AE0">
        <w:rPr>
          <w:sz w:val="22"/>
        </w:rPr>
        <w:t xml:space="preserve">only takes place in the mind. It demands </w:t>
      </w:r>
      <w:r w:rsidR="00DE7210">
        <w:rPr>
          <w:sz w:val="22"/>
        </w:rPr>
        <w:t>a dialogical</w:t>
      </w:r>
      <w:r w:rsidR="009F7AE0">
        <w:rPr>
          <w:sz w:val="22"/>
        </w:rPr>
        <w:t>, rigorous</w:t>
      </w:r>
      <w:r w:rsidR="00DE7210">
        <w:rPr>
          <w:sz w:val="22"/>
        </w:rPr>
        <w:t xml:space="preserve"> and sensitive disposition</w:t>
      </w:r>
      <w:r w:rsidR="00E27067">
        <w:rPr>
          <w:sz w:val="22"/>
        </w:rPr>
        <w:t xml:space="preserve"> and </w:t>
      </w:r>
      <w:r w:rsidR="00E64108">
        <w:rPr>
          <w:sz w:val="22"/>
        </w:rPr>
        <w:t xml:space="preserve">a </w:t>
      </w:r>
      <w:r w:rsidR="00E27067">
        <w:rPr>
          <w:sz w:val="22"/>
        </w:rPr>
        <w:t>skilfulness</w:t>
      </w:r>
      <w:r w:rsidR="00DE7210">
        <w:rPr>
          <w:sz w:val="22"/>
        </w:rPr>
        <w:t xml:space="preserve"> that needs something ‘other’</w:t>
      </w:r>
      <w:r w:rsidR="009F7AE0">
        <w:rPr>
          <w:sz w:val="22"/>
        </w:rPr>
        <w:t xml:space="preserve">. The </w:t>
      </w:r>
      <w:r w:rsidR="00E27067">
        <w:rPr>
          <w:sz w:val="22"/>
        </w:rPr>
        <w:t>language of probing, inquiry and investigation seem</w:t>
      </w:r>
      <w:r w:rsidR="009F7AE0">
        <w:rPr>
          <w:sz w:val="22"/>
        </w:rPr>
        <w:t>, sometimes,</w:t>
      </w:r>
      <w:r w:rsidR="00E27067">
        <w:rPr>
          <w:sz w:val="22"/>
        </w:rPr>
        <w:t xml:space="preserve"> to rather better communicate</w:t>
      </w:r>
      <w:r w:rsidR="009F7AE0">
        <w:rPr>
          <w:sz w:val="22"/>
        </w:rPr>
        <w:t xml:space="preserve"> this</w:t>
      </w:r>
      <w:r w:rsidR="00DE7210">
        <w:rPr>
          <w:sz w:val="22"/>
        </w:rPr>
        <w:t>.</w:t>
      </w:r>
      <w:r w:rsidRPr="00CE0087">
        <w:rPr>
          <w:sz w:val="22"/>
        </w:rPr>
        <w:t xml:space="preserve"> Richard Sennett’s comments in </w:t>
      </w:r>
      <w:r w:rsidRPr="00CE0087">
        <w:rPr>
          <w:i/>
          <w:sz w:val="22"/>
        </w:rPr>
        <w:t>The Craftsman</w:t>
      </w:r>
      <w:r w:rsidR="00FB1299">
        <w:rPr>
          <w:rStyle w:val="Fodnotehenvisning"/>
          <w:i/>
          <w:sz w:val="22"/>
        </w:rPr>
        <w:footnoteReference w:id="48"/>
      </w:r>
      <w:r w:rsidRPr="00CE0087">
        <w:rPr>
          <w:i/>
          <w:sz w:val="22"/>
        </w:rPr>
        <w:t xml:space="preserve"> </w:t>
      </w:r>
      <w:r w:rsidRPr="00CE0087">
        <w:rPr>
          <w:sz w:val="22"/>
        </w:rPr>
        <w:t>are useful in this respect. Although he focuses on the making of concrete things, his insights are a</w:t>
      </w:r>
      <w:r w:rsidR="000564BD">
        <w:rPr>
          <w:sz w:val="22"/>
        </w:rPr>
        <w:t>lso important for those domains such as the humanities</w:t>
      </w:r>
      <w:r w:rsidRPr="00CE0087">
        <w:rPr>
          <w:sz w:val="22"/>
        </w:rPr>
        <w:t xml:space="preserve"> that are sometimes wrongly construed as ‘immaterial’, as only ‘theory’. Such domains also involve a relation to the world, usually manifested in material forms such as texts, ar</w:t>
      </w:r>
      <w:r w:rsidR="00FF1AD6">
        <w:rPr>
          <w:sz w:val="22"/>
        </w:rPr>
        <w:t>chives, film or voice. He asks “</w:t>
      </w:r>
      <w:r w:rsidRPr="00CE0087">
        <w:rPr>
          <w:sz w:val="22"/>
        </w:rPr>
        <w:t>[w]hat the process of making concrete things</w:t>
      </w:r>
      <w:r w:rsidR="00FB1299">
        <w:rPr>
          <w:sz w:val="22"/>
        </w:rPr>
        <w:t xml:space="preserve"> reveals to us about ourselves’,</w:t>
      </w:r>
      <w:r w:rsidR="00FB1299" w:rsidRPr="00CE0087">
        <w:rPr>
          <w:sz w:val="22"/>
        </w:rPr>
        <w:t xml:space="preserve"> </w:t>
      </w:r>
      <w:r w:rsidRPr="00CE0087">
        <w:rPr>
          <w:sz w:val="22"/>
        </w:rPr>
        <w:t>adding ‘[l]earning from things requires us to care about the qualities of cloth or t</w:t>
      </w:r>
      <w:r w:rsidR="00FF1AD6">
        <w:rPr>
          <w:sz w:val="22"/>
        </w:rPr>
        <w:t>he right way to poach fish [</w:t>
      </w:r>
      <w:proofErr w:type="gramStart"/>
      <w:r w:rsidR="00FF1AD6">
        <w:rPr>
          <w:sz w:val="22"/>
        </w:rPr>
        <w:t>..]</w:t>
      </w:r>
      <w:proofErr w:type="gramEnd"/>
      <w:r w:rsidR="00FF1AD6">
        <w:rPr>
          <w:sz w:val="22"/>
        </w:rPr>
        <w:t>”</w:t>
      </w:r>
      <w:r w:rsidRPr="00CE0087">
        <w:rPr>
          <w:sz w:val="22"/>
        </w:rPr>
        <w:t>.</w:t>
      </w:r>
      <w:r w:rsidR="00FB1299">
        <w:rPr>
          <w:rStyle w:val="Fodnotehenvisning"/>
          <w:sz w:val="22"/>
        </w:rPr>
        <w:footnoteReference w:id="49"/>
      </w:r>
      <w:r w:rsidRPr="00CE0087">
        <w:rPr>
          <w:sz w:val="22"/>
        </w:rPr>
        <w:t xml:space="preserve"> Sennett’s sense of what it is to do something well involves a fidelity to t</w:t>
      </w:r>
      <w:r w:rsidR="00FF1AD6">
        <w:rPr>
          <w:sz w:val="22"/>
        </w:rPr>
        <w:t>he ‘thing itself’ and requires “</w:t>
      </w:r>
      <w:r w:rsidR="002A5301">
        <w:rPr>
          <w:sz w:val="22"/>
        </w:rPr>
        <w:t>skill, commitment and judgemen</w:t>
      </w:r>
      <w:r w:rsidR="00FF1AD6">
        <w:rPr>
          <w:sz w:val="22"/>
        </w:rPr>
        <w:t>t”.</w:t>
      </w:r>
      <w:r w:rsidR="00FB1299">
        <w:rPr>
          <w:rStyle w:val="Fodnotehenvisning"/>
          <w:sz w:val="22"/>
        </w:rPr>
        <w:footnoteReference w:id="50"/>
      </w:r>
      <w:r w:rsidR="0090313B">
        <w:rPr>
          <w:sz w:val="22"/>
        </w:rPr>
        <w:t xml:space="preserve">. If </w:t>
      </w:r>
      <w:r w:rsidR="00FF1AD6">
        <w:rPr>
          <w:sz w:val="22"/>
        </w:rPr>
        <w:t>“</w:t>
      </w:r>
      <w:r w:rsidRPr="00CE0087">
        <w:rPr>
          <w:sz w:val="22"/>
        </w:rPr>
        <w:t xml:space="preserve">every good craftsman conducts a dialogue between </w:t>
      </w:r>
      <w:r w:rsidR="0090313B">
        <w:rPr>
          <w:sz w:val="22"/>
        </w:rPr>
        <w:t>concrete practices and thinking</w:t>
      </w:r>
      <w:r w:rsidR="00FF1AD6">
        <w:rPr>
          <w:sz w:val="22"/>
        </w:rPr>
        <w:t>”</w:t>
      </w:r>
      <w:r w:rsidR="00FB1299">
        <w:rPr>
          <w:rStyle w:val="Fodnotehenvisning"/>
          <w:sz w:val="22"/>
        </w:rPr>
        <w:footnoteReference w:id="51"/>
      </w:r>
      <w:r w:rsidRPr="00CE0087">
        <w:rPr>
          <w:sz w:val="22"/>
        </w:rPr>
        <w:t xml:space="preserve">, as Sennett argues, it might help to begin to re-conceive the practice of subjects in the humanities and sciences in terms of </w:t>
      </w:r>
      <w:r w:rsidR="002A5301">
        <w:rPr>
          <w:sz w:val="22"/>
        </w:rPr>
        <w:t xml:space="preserve">the material knowing and thinking of </w:t>
      </w:r>
      <w:r w:rsidRPr="00CE0087">
        <w:rPr>
          <w:sz w:val="22"/>
        </w:rPr>
        <w:t>craftsmanship, not in terms of an pre-conceived end product</w:t>
      </w:r>
      <w:r w:rsidR="000564BD">
        <w:rPr>
          <w:sz w:val="22"/>
        </w:rPr>
        <w:t>,</w:t>
      </w:r>
      <w:r w:rsidRPr="00CE0087">
        <w:rPr>
          <w:sz w:val="22"/>
        </w:rPr>
        <w:t xml:space="preserve"> but in the sensitive manner in which a craftsman works with his or her material. Sennett makes the following arguments in respect o</w:t>
      </w:r>
      <w:r w:rsidR="0090313B">
        <w:rPr>
          <w:sz w:val="22"/>
        </w:rPr>
        <w:t xml:space="preserve">f his understanding of skills. </w:t>
      </w:r>
      <w:r w:rsidR="00FF1AD6">
        <w:rPr>
          <w:sz w:val="22"/>
        </w:rPr>
        <w:t>“</w:t>
      </w:r>
      <w:r w:rsidRPr="00CE0087">
        <w:rPr>
          <w:sz w:val="22"/>
        </w:rPr>
        <w:t>[F]</w:t>
      </w:r>
      <w:proofErr w:type="spellStart"/>
      <w:r w:rsidRPr="00CE0087">
        <w:rPr>
          <w:sz w:val="22"/>
        </w:rPr>
        <w:t>irst</w:t>
      </w:r>
      <w:proofErr w:type="spellEnd"/>
      <w:r w:rsidRPr="00CE0087">
        <w:rPr>
          <w:sz w:val="22"/>
        </w:rPr>
        <w:t xml:space="preserve"> all skills, even the most abstract, begin as bodily practices; second; that technical understanding develops throug</w:t>
      </w:r>
      <w:r w:rsidR="0090313B">
        <w:rPr>
          <w:sz w:val="22"/>
        </w:rPr>
        <w:t>h the powers of the imagination</w:t>
      </w:r>
      <w:r w:rsidR="00FF1AD6">
        <w:rPr>
          <w:sz w:val="22"/>
        </w:rPr>
        <w:t>”</w:t>
      </w:r>
      <w:r w:rsidR="00FB1299">
        <w:rPr>
          <w:rStyle w:val="Fodnotehenvisning"/>
          <w:sz w:val="22"/>
        </w:rPr>
        <w:footnoteReference w:id="52"/>
      </w:r>
      <w:r w:rsidR="00FB1299">
        <w:rPr>
          <w:sz w:val="22"/>
        </w:rPr>
        <w:t xml:space="preserve">. </w:t>
      </w:r>
      <w:r w:rsidRPr="00CE0087">
        <w:rPr>
          <w:sz w:val="22"/>
        </w:rPr>
        <w:t xml:space="preserve">The process of learning involves learning from the resistance and ambiguity of the given material, and the facility to improvise develops over time. He argues against any simplification and rationalisation of skills, such as a teacher’s manual, because of our nature as complex organisms – manuals simply cannot capture the elements and relations at play. </w:t>
      </w:r>
    </w:p>
    <w:p w14:paraId="34B6761B" w14:textId="77777777" w:rsidR="00427BA8" w:rsidRPr="00CE0087" w:rsidRDefault="00427BA8" w:rsidP="00F22861">
      <w:pPr>
        <w:jc w:val="both"/>
        <w:rPr>
          <w:sz w:val="22"/>
        </w:rPr>
      </w:pPr>
    </w:p>
    <w:p w14:paraId="080B6917" w14:textId="16859D50" w:rsidR="00427BA8" w:rsidRPr="00CE0087" w:rsidRDefault="00427BA8" w:rsidP="00F22861">
      <w:pPr>
        <w:jc w:val="both"/>
        <w:rPr>
          <w:sz w:val="22"/>
        </w:rPr>
      </w:pPr>
      <w:r w:rsidRPr="00CE0087">
        <w:rPr>
          <w:sz w:val="22"/>
        </w:rPr>
        <w:t>What if we were to tell the stories of the matter of our subjects and why they matter, as teachers</w:t>
      </w:r>
      <w:r w:rsidR="00E84278">
        <w:rPr>
          <w:sz w:val="22"/>
        </w:rPr>
        <w:t>, students,</w:t>
      </w:r>
      <w:r w:rsidRPr="00CE0087">
        <w:rPr>
          <w:sz w:val="22"/>
        </w:rPr>
        <w:t xml:space="preserve"> and researchers, detailing the subtle practices o</w:t>
      </w:r>
      <w:r w:rsidR="0093538A">
        <w:rPr>
          <w:sz w:val="22"/>
        </w:rPr>
        <w:t>f storytelling that they demand?</w:t>
      </w:r>
      <w:r w:rsidRPr="00CE0087">
        <w:rPr>
          <w:sz w:val="22"/>
        </w:rPr>
        <w:t xml:space="preserve"> We could communicate practices of thinking responsive and in dialogue with </w:t>
      </w:r>
      <w:r w:rsidR="00F41692">
        <w:rPr>
          <w:sz w:val="22"/>
        </w:rPr>
        <w:t>their</w:t>
      </w:r>
      <w:r w:rsidR="00F41692" w:rsidRPr="00CE0087">
        <w:rPr>
          <w:sz w:val="22"/>
        </w:rPr>
        <w:t xml:space="preserve"> </w:t>
      </w:r>
      <w:r w:rsidRPr="00CE0087">
        <w:rPr>
          <w:sz w:val="22"/>
        </w:rPr>
        <w:t xml:space="preserve">material, the need for deep attention in study in these areas and the tension of this with the direction of contemporary life. We might tell of our reservations about the meaningfulness and relevance of much of the </w:t>
      </w:r>
      <w:r w:rsidRPr="00CE0087">
        <w:rPr>
          <w:i/>
          <w:sz w:val="22"/>
        </w:rPr>
        <w:t>a priori</w:t>
      </w:r>
      <w:r w:rsidRPr="00CE0087">
        <w:rPr>
          <w:sz w:val="22"/>
        </w:rPr>
        <w:t xml:space="preserve"> skills language that abounds, our refusal to subordinate educati</w:t>
      </w:r>
      <w:r w:rsidR="008058FE">
        <w:rPr>
          <w:sz w:val="22"/>
        </w:rPr>
        <w:t>onal aims to the short-</w:t>
      </w:r>
      <w:r w:rsidRPr="00CE0087">
        <w:rPr>
          <w:sz w:val="22"/>
        </w:rPr>
        <w:t>term objectives of business</w:t>
      </w:r>
      <w:r w:rsidR="008058FE">
        <w:rPr>
          <w:sz w:val="22"/>
        </w:rPr>
        <w:t>,</w:t>
      </w:r>
      <w:r w:rsidRPr="00CE0087">
        <w:rPr>
          <w:sz w:val="22"/>
        </w:rPr>
        <w:t xml:space="preserve"> and </w:t>
      </w:r>
      <w:r w:rsidR="008058FE">
        <w:rPr>
          <w:sz w:val="22"/>
        </w:rPr>
        <w:t>resist servicing</w:t>
      </w:r>
      <w:r>
        <w:rPr>
          <w:sz w:val="22"/>
        </w:rPr>
        <w:t xml:space="preserve"> dominant discourses by </w:t>
      </w:r>
      <w:r w:rsidR="008058FE">
        <w:rPr>
          <w:sz w:val="22"/>
        </w:rPr>
        <w:t xml:space="preserve">re-framing our </w:t>
      </w:r>
      <w:r w:rsidR="00E64108">
        <w:rPr>
          <w:sz w:val="22"/>
        </w:rPr>
        <w:t xml:space="preserve">research </w:t>
      </w:r>
      <w:r w:rsidR="008058FE">
        <w:rPr>
          <w:sz w:val="22"/>
        </w:rPr>
        <w:t>within an</w:t>
      </w:r>
      <w:r>
        <w:rPr>
          <w:sz w:val="22"/>
        </w:rPr>
        <w:t xml:space="preserve"> instrumental rationale. We could </w:t>
      </w:r>
      <w:r w:rsidRPr="00CE0087">
        <w:rPr>
          <w:sz w:val="22"/>
        </w:rPr>
        <w:t>refuse to apologise</w:t>
      </w:r>
      <w:r w:rsidR="008058FE">
        <w:rPr>
          <w:sz w:val="22"/>
        </w:rPr>
        <w:t>,</w:t>
      </w:r>
      <w:r w:rsidRPr="00CE0087">
        <w:rPr>
          <w:sz w:val="22"/>
        </w:rPr>
        <w:t xml:space="preserve"> and ask</w:t>
      </w:r>
      <w:r>
        <w:rPr>
          <w:sz w:val="22"/>
        </w:rPr>
        <w:t xml:space="preserve"> how we might</w:t>
      </w:r>
      <w:r w:rsidRPr="00CE0087">
        <w:rPr>
          <w:sz w:val="22"/>
        </w:rPr>
        <w:t xml:space="preserve"> retrieve a sense of our world and the natural history of humankind, a history far richer than the caricature of </w:t>
      </w:r>
      <w:r w:rsidRPr="00CE0087">
        <w:rPr>
          <w:i/>
          <w:sz w:val="22"/>
        </w:rPr>
        <w:t xml:space="preserve">homo </w:t>
      </w:r>
      <w:proofErr w:type="spellStart"/>
      <w:r w:rsidRPr="00CE0087">
        <w:rPr>
          <w:i/>
          <w:sz w:val="22"/>
        </w:rPr>
        <w:t>economicus</w:t>
      </w:r>
      <w:proofErr w:type="spellEnd"/>
      <w:r w:rsidRPr="00CE0087">
        <w:rPr>
          <w:i/>
          <w:sz w:val="22"/>
        </w:rPr>
        <w:t xml:space="preserve">. </w:t>
      </w:r>
      <w:r w:rsidRPr="00CE0087">
        <w:rPr>
          <w:sz w:val="22"/>
        </w:rPr>
        <w:t>We could ask what possibilities are offered to a human life to explore the world, becom</w:t>
      </w:r>
      <w:r w:rsidR="00F41692">
        <w:rPr>
          <w:sz w:val="22"/>
        </w:rPr>
        <w:t xml:space="preserve">ing </w:t>
      </w:r>
      <w:r w:rsidRPr="00CE0087">
        <w:rPr>
          <w:sz w:val="22"/>
        </w:rPr>
        <w:t xml:space="preserve">attuned to the human as a being in becoming, a human who is natural, historical, cultural, linguistic, expressive, desiring, creative and sensual. When we witness the expressiveness and lack of utility of so much of nature, why do we feel compelled to impoverish our understanding of human existence, and tie it to key performance indicators? Why do we feel we need to justify life? </w:t>
      </w:r>
      <w:r>
        <w:rPr>
          <w:sz w:val="22"/>
        </w:rPr>
        <w:t>Cultivating</w:t>
      </w:r>
      <w:r w:rsidRPr="00CE0087">
        <w:rPr>
          <w:sz w:val="22"/>
        </w:rPr>
        <w:t xml:space="preserve"> skilfulness </w:t>
      </w:r>
      <w:r w:rsidR="00E64108">
        <w:rPr>
          <w:sz w:val="22"/>
        </w:rPr>
        <w:t xml:space="preserve">in material thinking </w:t>
      </w:r>
      <w:r w:rsidRPr="00CE0087">
        <w:rPr>
          <w:sz w:val="22"/>
        </w:rPr>
        <w:t>returns us to the rich materiality of the world</w:t>
      </w:r>
      <w:r w:rsidR="00D777D5">
        <w:rPr>
          <w:sz w:val="22"/>
        </w:rPr>
        <w:t xml:space="preserve"> and to practices of education that</w:t>
      </w:r>
      <w:r w:rsidRPr="00CE0087">
        <w:rPr>
          <w:sz w:val="22"/>
        </w:rPr>
        <w:t xml:space="preserve"> allows us to singularise each of our existence with all the exuberant superfluity of life.</w:t>
      </w:r>
      <w:r w:rsidR="009F7AE0">
        <w:rPr>
          <w:sz w:val="22"/>
        </w:rPr>
        <w:t xml:space="preserve"> </w:t>
      </w:r>
    </w:p>
    <w:p w14:paraId="0865C886" w14:textId="778451EC" w:rsidR="00427BA8" w:rsidRPr="008C6417" w:rsidRDefault="00F22861" w:rsidP="00FB1299">
      <w:pPr>
        <w:widowControl w:val="0"/>
        <w:autoSpaceDE w:val="0"/>
        <w:autoSpaceDN w:val="0"/>
        <w:adjustRightInd w:val="0"/>
        <w:spacing w:after="240"/>
        <w:rPr>
          <w:sz w:val="22"/>
          <w:lang w:val="en-US"/>
        </w:rPr>
      </w:pPr>
      <w:r>
        <w:rPr>
          <w:sz w:val="22"/>
        </w:rPr>
        <w:br/>
      </w:r>
      <w:r w:rsidR="008D1C8B">
        <w:rPr>
          <w:sz w:val="22"/>
        </w:rPr>
        <w:br/>
      </w:r>
    </w:p>
    <w:sectPr w:rsidR="00427BA8" w:rsidRPr="008C6417" w:rsidSect="00E25B16">
      <w:footerReference w:type="even" r:id="rId9"/>
      <w:footerReference w:type="default" r:id="rId10"/>
      <w:pgSz w:w="11900" w:h="16840"/>
      <w:pgMar w:top="1134" w:right="1127"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1B58F" w14:textId="77777777" w:rsidR="0035457A" w:rsidRDefault="0035457A">
      <w:r>
        <w:separator/>
      </w:r>
    </w:p>
  </w:endnote>
  <w:endnote w:type="continuationSeparator" w:id="0">
    <w:p w14:paraId="424A5D43" w14:textId="77777777" w:rsidR="0035457A" w:rsidRDefault="0035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18604" w14:textId="77777777" w:rsidR="0035457A" w:rsidRDefault="0035457A" w:rsidP="00427BA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E8F1920" w14:textId="77777777" w:rsidR="0035457A" w:rsidRDefault="0035457A" w:rsidP="00427BA8">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F9AF" w14:textId="77777777" w:rsidR="0035457A" w:rsidRDefault="0035457A" w:rsidP="00427BA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44224F">
      <w:rPr>
        <w:rStyle w:val="Sidetal"/>
        <w:noProof/>
      </w:rPr>
      <w:t>2</w:t>
    </w:r>
    <w:r>
      <w:rPr>
        <w:rStyle w:val="Sidetal"/>
      </w:rPr>
      <w:fldChar w:fldCharType="end"/>
    </w:r>
  </w:p>
  <w:p w14:paraId="3E4E53F7" w14:textId="77777777" w:rsidR="0035457A" w:rsidRDefault="0035457A" w:rsidP="00427BA8">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A612B" w14:textId="77777777" w:rsidR="0035457A" w:rsidRDefault="0035457A">
      <w:r>
        <w:separator/>
      </w:r>
    </w:p>
  </w:footnote>
  <w:footnote w:type="continuationSeparator" w:id="0">
    <w:p w14:paraId="53696A26" w14:textId="77777777" w:rsidR="0035457A" w:rsidRDefault="0035457A">
      <w:r>
        <w:continuationSeparator/>
      </w:r>
    </w:p>
  </w:footnote>
  <w:footnote w:id="1">
    <w:p w14:paraId="334851EA" w14:textId="48A07F9B"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Hannah Arendt, The Human Condition. (Chicago: University of Chicago Press, 1958).</w:t>
      </w:r>
    </w:p>
  </w:footnote>
  <w:footnote w:id="2">
    <w:p w14:paraId="630CB72E" w14:textId="5886BF40"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Paolo </w:t>
      </w:r>
      <w:proofErr w:type="spellStart"/>
      <w:r w:rsidRPr="00B35BB8">
        <w:rPr>
          <w:rStyle w:val="Fodnotehenvisning"/>
        </w:rPr>
        <w:t>Virno</w:t>
      </w:r>
      <w:proofErr w:type="spellEnd"/>
      <w:r w:rsidRPr="00B35BB8">
        <w:rPr>
          <w:rStyle w:val="Fodnotehenvisning"/>
        </w:rPr>
        <w:t xml:space="preserve">, </w:t>
      </w:r>
      <w:r>
        <w:rPr>
          <w:rStyle w:val="Fodnotehenvisning"/>
        </w:rPr>
        <w:t>“</w:t>
      </w:r>
      <w:r w:rsidRPr="00B35BB8">
        <w:rPr>
          <w:rStyle w:val="Fodnotehenvisning"/>
        </w:rPr>
        <w:t>The Ambivalence of Disenchantment</w:t>
      </w:r>
      <w:r>
        <w:rPr>
          <w:rStyle w:val="Fodnotehenvisning"/>
        </w:rPr>
        <w:t>”</w:t>
      </w:r>
      <w:r w:rsidRPr="00B35BB8">
        <w:rPr>
          <w:rStyle w:val="Fodnotehenvisning"/>
        </w:rPr>
        <w:t xml:space="preserve"> in Radical Thought in Italy. Eds. A. </w:t>
      </w:r>
      <w:proofErr w:type="spellStart"/>
      <w:r w:rsidRPr="00B35BB8">
        <w:rPr>
          <w:rStyle w:val="Fodnotehenvisning"/>
        </w:rPr>
        <w:t>Negri</w:t>
      </w:r>
      <w:proofErr w:type="spellEnd"/>
      <w:r w:rsidRPr="00B35BB8">
        <w:rPr>
          <w:rStyle w:val="Fodnotehenvisning"/>
        </w:rPr>
        <w:t xml:space="preserve"> and M. </w:t>
      </w:r>
      <w:proofErr w:type="spellStart"/>
      <w:r w:rsidRPr="00B35BB8">
        <w:rPr>
          <w:rStyle w:val="Fodnotehenvisning"/>
        </w:rPr>
        <w:t>Hardt</w:t>
      </w:r>
      <w:proofErr w:type="spellEnd"/>
      <w:r w:rsidRPr="00B35BB8">
        <w:rPr>
          <w:rStyle w:val="Fodnotehenvisning"/>
        </w:rPr>
        <w:t>. (Minneapolis: University of Minnesota Press, 1996), 13-36.</w:t>
      </w:r>
    </w:p>
  </w:footnote>
  <w:footnote w:id="3">
    <w:p w14:paraId="63716492" w14:textId="577030CD"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w:t>
      </w:r>
      <w:proofErr w:type="spellStart"/>
      <w:r w:rsidRPr="00B35BB8">
        <w:rPr>
          <w:rStyle w:val="Fodnotehenvisning"/>
        </w:rPr>
        <w:t>Virno</w:t>
      </w:r>
      <w:proofErr w:type="spellEnd"/>
      <w:r w:rsidRPr="00B35BB8">
        <w:rPr>
          <w:rStyle w:val="Fodnotehenvisning"/>
        </w:rPr>
        <w:t>, 14.</w:t>
      </w:r>
    </w:p>
  </w:footnote>
  <w:footnote w:id="4">
    <w:p w14:paraId="0EDFA6AD" w14:textId="10457695"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Berardi, F. (2011) After the Future. Edinburgh: AK Press.</w:t>
      </w:r>
    </w:p>
  </w:footnote>
  <w:footnote w:id="5">
    <w:p w14:paraId="3117BDA7" w14:textId="6BF71531"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Kafka, F. (1978) Wedding Preparations in the Country and Other Stories. London: Penguin.</w:t>
      </w:r>
    </w:p>
  </w:footnote>
  <w:footnote w:id="6">
    <w:p w14:paraId="6FF24981" w14:textId="24591162"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Kafka, 314-16.</w:t>
      </w:r>
    </w:p>
  </w:footnote>
  <w:footnote w:id="7">
    <w:p w14:paraId="1547342E" w14:textId="28DC76FB"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Tim </w:t>
      </w:r>
      <w:proofErr w:type="spellStart"/>
      <w:r w:rsidRPr="00B35BB8">
        <w:rPr>
          <w:rStyle w:val="Fodnotehenvisning"/>
        </w:rPr>
        <w:t>Ingold</w:t>
      </w:r>
      <w:proofErr w:type="spellEnd"/>
      <w:r w:rsidRPr="00B35BB8">
        <w:rPr>
          <w:rStyle w:val="Fodnotehenvisning"/>
        </w:rPr>
        <w:t xml:space="preserve">, </w:t>
      </w:r>
      <w:r>
        <w:rPr>
          <w:rStyle w:val="Fodnotehenvisning"/>
        </w:rPr>
        <w:t>“</w:t>
      </w:r>
      <w:r w:rsidRPr="00B35BB8">
        <w:rPr>
          <w:rStyle w:val="Fodnotehenvisning"/>
        </w:rPr>
        <w:t>Beyond biology and culture. The meaning of evolution in a relational world</w:t>
      </w:r>
      <w:r>
        <w:rPr>
          <w:rStyle w:val="Fodnotehenvisning"/>
        </w:rPr>
        <w:t>”</w:t>
      </w:r>
      <w:r w:rsidRPr="00B35BB8">
        <w:rPr>
          <w:rStyle w:val="Fodnotehenvisning"/>
        </w:rPr>
        <w:t>. Social Anth</w:t>
      </w:r>
      <w:r>
        <w:rPr>
          <w:rStyle w:val="Fodnotehenvisning"/>
        </w:rPr>
        <w:t xml:space="preserve">ropology 12, 2004: 209–221; </w:t>
      </w:r>
      <w:proofErr w:type="spellStart"/>
      <w:r w:rsidRPr="003A4C9D">
        <w:rPr>
          <w:vertAlign w:val="superscript"/>
        </w:rPr>
        <w:t>Ingold</w:t>
      </w:r>
      <w:proofErr w:type="spellEnd"/>
      <w:r w:rsidRPr="003A4C9D">
        <w:rPr>
          <w:vertAlign w:val="superscript"/>
        </w:rPr>
        <w:t xml:space="preserve">, T. (2011) </w:t>
      </w:r>
      <w:r w:rsidRPr="003A4C9D">
        <w:rPr>
          <w:i/>
          <w:vertAlign w:val="superscript"/>
        </w:rPr>
        <w:t xml:space="preserve">Being Alive: Essays on Movement, Knowledge and Description. </w:t>
      </w:r>
      <w:r w:rsidRPr="003A4C9D">
        <w:rPr>
          <w:vertAlign w:val="superscript"/>
        </w:rPr>
        <w:t>London: Routledge</w:t>
      </w:r>
      <w:r>
        <w:rPr>
          <w:vertAlign w:val="superscript"/>
        </w:rPr>
        <w:t xml:space="preserve">; </w:t>
      </w:r>
      <w:r>
        <w:rPr>
          <w:vertAlign w:val="superscript"/>
          <w:lang w:val="en-US"/>
        </w:rPr>
        <w:t xml:space="preserve">Tim </w:t>
      </w:r>
      <w:proofErr w:type="spellStart"/>
      <w:r>
        <w:rPr>
          <w:vertAlign w:val="superscript"/>
          <w:lang w:val="en-US"/>
        </w:rPr>
        <w:t>Ingold</w:t>
      </w:r>
      <w:proofErr w:type="spellEnd"/>
      <w:r>
        <w:rPr>
          <w:vertAlign w:val="superscript"/>
          <w:lang w:val="en-US"/>
        </w:rPr>
        <w:t xml:space="preserve"> </w:t>
      </w:r>
      <w:r w:rsidRPr="003A4C9D">
        <w:rPr>
          <w:vertAlign w:val="superscript"/>
          <w:lang w:val="en-US"/>
        </w:rPr>
        <w:t xml:space="preserve">‘From Complementarity to Obviation:  On Dissolving the Boundaries between Social and Biological Anthropology, Archaeology, and Psychology’ </w:t>
      </w:r>
      <w:proofErr w:type="gramStart"/>
      <w:r w:rsidRPr="003A4C9D">
        <w:rPr>
          <w:vertAlign w:val="superscript"/>
          <w:lang w:val="en-US"/>
        </w:rPr>
        <w:t xml:space="preserve">in  </w:t>
      </w:r>
      <w:proofErr w:type="spellStart"/>
      <w:r w:rsidRPr="003A4C9D">
        <w:rPr>
          <w:vertAlign w:val="superscript"/>
          <w:lang w:val="en-US"/>
        </w:rPr>
        <w:t>Oyama</w:t>
      </w:r>
      <w:proofErr w:type="spellEnd"/>
      <w:proofErr w:type="gramEnd"/>
      <w:r w:rsidRPr="003A4C9D">
        <w:rPr>
          <w:vertAlign w:val="superscript"/>
          <w:lang w:val="en-US"/>
        </w:rPr>
        <w:t xml:space="preserve">, S., Griffiths, P. E., &amp; Gray, R. D. (Eds.) </w:t>
      </w:r>
      <w:r w:rsidRPr="003A4C9D">
        <w:rPr>
          <w:i/>
          <w:vertAlign w:val="superscript"/>
          <w:lang w:val="en-US"/>
        </w:rPr>
        <w:t>Cycles of Contingency: Developmental Systems and Evolution</w:t>
      </w:r>
      <w:r w:rsidRPr="003A4C9D">
        <w:rPr>
          <w:vertAlign w:val="superscript"/>
          <w:lang w:val="en-US"/>
        </w:rPr>
        <w:t xml:space="preserve">. </w:t>
      </w:r>
      <w:r>
        <w:rPr>
          <w:vertAlign w:val="superscript"/>
          <w:lang w:val="en-US"/>
        </w:rPr>
        <w:t>(</w:t>
      </w:r>
      <w:r w:rsidRPr="003A4C9D">
        <w:rPr>
          <w:vertAlign w:val="superscript"/>
          <w:lang w:val="en-US"/>
        </w:rPr>
        <w:t xml:space="preserve">Cambridge: MIT Press, </w:t>
      </w:r>
      <w:r>
        <w:rPr>
          <w:vertAlign w:val="superscript"/>
          <w:lang w:val="en-US"/>
        </w:rPr>
        <w:t xml:space="preserve">2001), 255-280; Tim </w:t>
      </w:r>
      <w:proofErr w:type="spellStart"/>
      <w:r>
        <w:rPr>
          <w:vertAlign w:val="superscript"/>
          <w:lang w:val="en-US"/>
        </w:rPr>
        <w:t>Ingold</w:t>
      </w:r>
      <w:proofErr w:type="spellEnd"/>
      <w:r>
        <w:rPr>
          <w:vertAlign w:val="superscript"/>
          <w:lang w:val="en-US"/>
        </w:rPr>
        <w:t>,</w:t>
      </w:r>
      <w:r w:rsidRPr="003A4C9D">
        <w:rPr>
          <w:vertAlign w:val="superscript"/>
          <w:lang w:val="en-US"/>
        </w:rPr>
        <w:t xml:space="preserve"> </w:t>
      </w:r>
      <w:r w:rsidRPr="003A4C9D">
        <w:rPr>
          <w:i/>
          <w:vertAlign w:val="superscript"/>
          <w:lang w:val="en-US"/>
        </w:rPr>
        <w:t>The Perception of the Environment: Essays in Livelihood, Dwelling and Skill</w:t>
      </w:r>
      <w:proofErr w:type="gramStart"/>
      <w:r w:rsidRPr="003A4C9D">
        <w:rPr>
          <w:i/>
          <w:vertAlign w:val="superscript"/>
          <w:lang w:val="en-US"/>
        </w:rPr>
        <w:t>.</w:t>
      </w:r>
      <w:r>
        <w:rPr>
          <w:vertAlign w:val="superscript"/>
          <w:lang w:val="en-US"/>
        </w:rPr>
        <w:t>(</w:t>
      </w:r>
      <w:proofErr w:type="gramEnd"/>
      <w:r w:rsidRPr="003A4C9D">
        <w:rPr>
          <w:i/>
          <w:vertAlign w:val="superscript"/>
          <w:lang w:val="en-US"/>
        </w:rPr>
        <w:t xml:space="preserve"> </w:t>
      </w:r>
      <w:r w:rsidRPr="003A4C9D">
        <w:rPr>
          <w:vertAlign w:val="superscript"/>
          <w:lang w:val="en-US"/>
        </w:rPr>
        <w:t>London: Routledge</w:t>
      </w:r>
      <w:r>
        <w:rPr>
          <w:vertAlign w:val="superscript"/>
          <w:lang w:val="en-US"/>
        </w:rPr>
        <w:t>, 2000)</w:t>
      </w:r>
      <w:r w:rsidRPr="003A4C9D">
        <w:rPr>
          <w:vertAlign w:val="superscript"/>
          <w:lang w:val="en-US"/>
        </w:rPr>
        <w:t>.</w:t>
      </w:r>
    </w:p>
  </w:footnote>
  <w:footnote w:id="8">
    <w:p w14:paraId="244C2F44" w14:textId="585BF2FC"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w:t>
      </w:r>
      <w:proofErr w:type="spellStart"/>
      <w:r w:rsidRPr="00B35BB8">
        <w:rPr>
          <w:rStyle w:val="Fodnotehenvisning"/>
        </w:rPr>
        <w:t>Ingold</w:t>
      </w:r>
      <w:proofErr w:type="spellEnd"/>
      <w:r w:rsidRPr="00B35BB8">
        <w:rPr>
          <w:rStyle w:val="Fodnotehenvisning"/>
        </w:rPr>
        <w:t>, 2004, 216.</w:t>
      </w:r>
    </w:p>
  </w:footnote>
  <w:footnote w:id="9">
    <w:p w14:paraId="0E4815A0" w14:textId="50A8EF6A"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William Connolly, The Fragility of Things. (Durham: Duke University Press, 2013); William Connolly, A World of Becoming. (Durham: Duke University Press, 2011).</w:t>
      </w:r>
    </w:p>
  </w:footnote>
  <w:footnote w:id="10">
    <w:p w14:paraId="10925164" w14:textId="581AC78F" w:rsidR="0035457A" w:rsidRPr="00ED429E" w:rsidRDefault="0035457A">
      <w:pPr>
        <w:pStyle w:val="Fodnotetekst"/>
        <w:rPr>
          <w:lang w:val="en-US"/>
        </w:rPr>
      </w:pPr>
      <w:r>
        <w:rPr>
          <w:rStyle w:val="Fodnotehenvisning"/>
        </w:rPr>
        <w:footnoteRef/>
      </w:r>
      <w:r>
        <w:t xml:space="preserve"> </w:t>
      </w:r>
      <w:r w:rsidRPr="00B35BB8">
        <w:rPr>
          <w:rStyle w:val="Fodnotehenvisning"/>
        </w:rPr>
        <w:t xml:space="preserve">Jane Bennett, Vibrant Matter: The Political Ecology of Things. (Durham: Duke University Press, 2010); Jane Bennett, </w:t>
      </w:r>
      <w:r>
        <w:rPr>
          <w:rStyle w:val="Fodnotehenvisning"/>
        </w:rPr>
        <w:t>“</w:t>
      </w:r>
      <w:r w:rsidRPr="00B35BB8">
        <w:rPr>
          <w:rStyle w:val="Fodnotehenvisning"/>
        </w:rPr>
        <w:t>The Force of Things: Steps Toward an Ecology of Matter</w:t>
      </w:r>
      <w:r>
        <w:rPr>
          <w:rStyle w:val="Fodnotehenvisning"/>
        </w:rPr>
        <w:t>”</w:t>
      </w:r>
      <w:r w:rsidRPr="00B35BB8">
        <w:rPr>
          <w:rStyle w:val="Fodnotehenvisning"/>
        </w:rPr>
        <w:t>, Political Theory 32, no.3 (2004): 347-372.</w:t>
      </w:r>
    </w:p>
  </w:footnote>
  <w:footnote w:id="11">
    <w:p w14:paraId="6BA5DA19" w14:textId="1079FE27"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Francisco Varela, </w:t>
      </w:r>
      <w:r>
        <w:rPr>
          <w:rStyle w:val="Fodnotehenvisning"/>
        </w:rPr>
        <w:t>“</w:t>
      </w:r>
      <w:r w:rsidRPr="00B35BB8">
        <w:rPr>
          <w:rStyle w:val="Fodnotehenvisning"/>
        </w:rPr>
        <w:t xml:space="preserve">The </w:t>
      </w:r>
      <w:proofErr w:type="spellStart"/>
      <w:r w:rsidRPr="00B35BB8">
        <w:rPr>
          <w:rStyle w:val="Fodnotehenvisning"/>
        </w:rPr>
        <w:t>Reenchantment</w:t>
      </w:r>
      <w:proofErr w:type="spellEnd"/>
      <w:r w:rsidRPr="00B35BB8">
        <w:rPr>
          <w:rStyle w:val="Fodnotehenvisning"/>
        </w:rPr>
        <w:t xml:space="preserve"> of the Concrete</w:t>
      </w:r>
      <w:r>
        <w:rPr>
          <w:rStyle w:val="Fodnotehenvisning"/>
        </w:rPr>
        <w:t>”</w:t>
      </w:r>
      <w:r w:rsidRPr="00B35BB8">
        <w:rPr>
          <w:rStyle w:val="Fodnotehenvisning"/>
        </w:rPr>
        <w:t xml:space="preserve"> in Incorporations, eds. Jonathan </w:t>
      </w:r>
      <w:proofErr w:type="spellStart"/>
      <w:r w:rsidRPr="00B35BB8">
        <w:rPr>
          <w:rStyle w:val="Fodnotehenvisning"/>
        </w:rPr>
        <w:t>Crary</w:t>
      </w:r>
      <w:proofErr w:type="spellEnd"/>
      <w:r w:rsidRPr="00B35BB8">
        <w:rPr>
          <w:rStyle w:val="Fodnotehenvisning"/>
        </w:rPr>
        <w:t xml:space="preserve"> and Sanford </w:t>
      </w:r>
      <w:proofErr w:type="spellStart"/>
      <w:r w:rsidRPr="00B35BB8">
        <w:rPr>
          <w:rStyle w:val="Fodnotehenvisning"/>
        </w:rPr>
        <w:t>Kwinter</w:t>
      </w:r>
      <w:proofErr w:type="spellEnd"/>
      <w:r w:rsidRPr="00B35BB8">
        <w:rPr>
          <w:rStyle w:val="Fodnotehenvisning"/>
        </w:rPr>
        <w:t xml:space="preserve">, (New York: Zone Books; 1992); Francisco Varela, Evan Thompson &amp; Eleanor </w:t>
      </w:r>
      <w:proofErr w:type="spellStart"/>
      <w:r w:rsidRPr="00B35BB8">
        <w:rPr>
          <w:rStyle w:val="Fodnotehenvisning"/>
        </w:rPr>
        <w:t>Rosch</w:t>
      </w:r>
      <w:proofErr w:type="spellEnd"/>
      <w:r w:rsidRPr="00B35BB8">
        <w:rPr>
          <w:rStyle w:val="Fodnotehenvisning"/>
        </w:rPr>
        <w:t xml:space="preserve"> (1991), The Embodied Mind. (Cambridge: MIT Press, 1991).</w:t>
      </w:r>
    </w:p>
  </w:footnote>
  <w:footnote w:id="12">
    <w:p w14:paraId="555A4641" w14:textId="05587EAC"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w:t>
      </w:r>
      <w:proofErr w:type="spellStart"/>
      <w:r w:rsidRPr="00B35BB8">
        <w:rPr>
          <w:rStyle w:val="Fodnotehenvisning"/>
        </w:rPr>
        <w:t>Ingold</w:t>
      </w:r>
      <w:proofErr w:type="spellEnd"/>
      <w:r w:rsidRPr="00B35BB8">
        <w:rPr>
          <w:rStyle w:val="Fodnotehenvisning"/>
        </w:rPr>
        <w:t>, 2001, 274.</w:t>
      </w:r>
    </w:p>
  </w:footnote>
  <w:footnote w:id="13">
    <w:p w14:paraId="0E7812D6" w14:textId="7B3AA6FD"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Hans Georg </w:t>
      </w:r>
      <w:proofErr w:type="spellStart"/>
      <w:r w:rsidRPr="00B35BB8">
        <w:rPr>
          <w:rStyle w:val="Fodnotehenvisning"/>
        </w:rPr>
        <w:t>Gadamer</w:t>
      </w:r>
      <w:proofErr w:type="spellEnd"/>
      <w:r w:rsidRPr="00B35BB8">
        <w:rPr>
          <w:rStyle w:val="Fodnotehenvisning"/>
        </w:rPr>
        <w:t>, Heidegger’s Ways. (New York: State University of New York Press, 1994), 66.</w:t>
      </w:r>
    </w:p>
  </w:footnote>
  <w:footnote w:id="14">
    <w:p w14:paraId="104E9B64" w14:textId="33F6CC8E"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Gilles </w:t>
      </w:r>
      <w:proofErr w:type="spellStart"/>
      <w:r w:rsidRPr="00B35BB8">
        <w:rPr>
          <w:rStyle w:val="Fodnotehenvisning"/>
        </w:rPr>
        <w:t>Deleuze</w:t>
      </w:r>
      <w:proofErr w:type="spellEnd"/>
      <w:r w:rsidRPr="00B35BB8">
        <w:rPr>
          <w:rStyle w:val="Fodnotehenvisning"/>
        </w:rPr>
        <w:t xml:space="preserve">, Two Regimes of Madness: Texts and Interviews 1975-1995. (New York: </w:t>
      </w:r>
      <w:proofErr w:type="spellStart"/>
      <w:r w:rsidRPr="00B35BB8">
        <w:rPr>
          <w:rStyle w:val="Fodnotehenvisning"/>
        </w:rPr>
        <w:t>Semiotext</w:t>
      </w:r>
      <w:proofErr w:type="spellEnd"/>
      <w:r w:rsidRPr="00B35BB8">
        <w:rPr>
          <w:rStyle w:val="Fodnotehenvisning"/>
        </w:rPr>
        <w:t>(e), 2006).</w:t>
      </w:r>
    </w:p>
  </w:footnote>
  <w:footnote w:id="15">
    <w:p w14:paraId="07BEEB55" w14:textId="08F0C766"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w:t>
      </w:r>
      <w:proofErr w:type="spellStart"/>
      <w:r w:rsidRPr="00B35BB8">
        <w:rPr>
          <w:rStyle w:val="Fodnotehenvisning"/>
        </w:rPr>
        <w:t>Deleuze</w:t>
      </w:r>
      <w:proofErr w:type="spellEnd"/>
      <w:r w:rsidRPr="00B35BB8">
        <w:rPr>
          <w:rStyle w:val="Fodnotehenvisning"/>
        </w:rPr>
        <w:t>, 2006, 313.</w:t>
      </w:r>
    </w:p>
  </w:footnote>
  <w:footnote w:id="16">
    <w:p w14:paraId="2F299CD9" w14:textId="76296301"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Ibid, 312.</w:t>
      </w:r>
    </w:p>
  </w:footnote>
  <w:footnote w:id="17">
    <w:p w14:paraId="66A40ECD" w14:textId="66113189"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J.J. Gibson, The Ecological Approach to Visual Perception. (Sussex: Psychology Press, 1986).</w:t>
      </w:r>
    </w:p>
  </w:footnote>
  <w:footnote w:id="18">
    <w:p w14:paraId="02E30C6B" w14:textId="27C875F5"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Andrei </w:t>
      </w:r>
      <w:proofErr w:type="spellStart"/>
      <w:r w:rsidRPr="00B35BB8">
        <w:rPr>
          <w:rStyle w:val="Fodnotehenvisning"/>
        </w:rPr>
        <w:t>Tarkovsky</w:t>
      </w:r>
      <w:proofErr w:type="spellEnd"/>
      <w:r w:rsidRPr="00B35BB8">
        <w:rPr>
          <w:rStyle w:val="Fodnotehenvisning"/>
        </w:rPr>
        <w:t>, Sculpting in Time. (Austin: University of Texas Press, 1989)</w:t>
      </w:r>
    </w:p>
  </w:footnote>
  <w:footnote w:id="19">
    <w:p w14:paraId="22CB0576" w14:textId="26806C53"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w:t>
      </w:r>
      <w:proofErr w:type="spellStart"/>
      <w:r w:rsidRPr="00B35BB8">
        <w:rPr>
          <w:rStyle w:val="Fodnotehenvisning"/>
        </w:rPr>
        <w:t>Tarkovsky</w:t>
      </w:r>
      <w:proofErr w:type="spellEnd"/>
      <w:r w:rsidRPr="00B35BB8">
        <w:rPr>
          <w:rStyle w:val="Fodnotehenvisning"/>
        </w:rPr>
        <w:t>, 25</w:t>
      </w:r>
    </w:p>
  </w:footnote>
  <w:footnote w:id="20">
    <w:p w14:paraId="69E1DBFE" w14:textId="58D75156"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Samuel Beckett, Company/Ill Seen, Ill Said/</w:t>
      </w:r>
      <w:proofErr w:type="spellStart"/>
      <w:r w:rsidRPr="00B35BB8">
        <w:rPr>
          <w:rStyle w:val="Fodnotehenvisning"/>
        </w:rPr>
        <w:t>Worstward</w:t>
      </w:r>
      <w:proofErr w:type="spellEnd"/>
      <w:r w:rsidRPr="00B35BB8">
        <w:rPr>
          <w:rStyle w:val="Fodnotehenvisning"/>
        </w:rPr>
        <w:t xml:space="preserve"> </w:t>
      </w:r>
      <w:proofErr w:type="spellStart"/>
      <w:r w:rsidRPr="00B35BB8">
        <w:rPr>
          <w:rStyle w:val="Fodnotehenvisning"/>
        </w:rPr>
        <w:t>Ho</w:t>
      </w:r>
      <w:proofErr w:type="spellEnd"/>
      <w:r w:rsidRPr="00B35BB8">
        <w:rPr>
          <w:rStyle w:val="Fodnotehenvisning"/>
        </w:rPr>
        <w:t>/Stirrings Still. (London: Faber and Faber, 2009).</w:t>
      </w:r>
    </w:p>
  </w:footnote>
  <w:footnote w:id="21">
    <w:p w14:paraId="6CA1FFC5" w14:textId="1C05D86F"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Beckett, 51</w:t>
      </w:r>
    </w:p>
  </w:footnote>
  <w:footnote w:id="22">
    <w:p w14:paraId="1E6B4274" w14:textId="22F9075C"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w:t>
      </w:r>
      <w:proofErr w:type="spellStart"/>
      <w:r w:rsidRPr="00B35BB8">
        <w:rPr>
          <w:rStyle w:val="Fodnotehenvisning"/>
        </w:rPr>
        <w:t>Ingold</w:t>
      </w:r>
      <w:proofErr w:type="spellEnd"/>
      <w:r w:rsidRPr="00B35BB8">
        <w:rPr>
          <w:rStyle w:val="Fodnotehenvisning"/>
        </w:rPr>
        <w:t>, 2001, 263-4</w:t>
      </w:r>
    </w:p>
  </w:footnote>
  <w:footnote w:id="23">
    <w:p w14:paraId="0D8E6BCB" w14:textId="08E81518"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Ibid, 276.</w:t>
      </w:r>
    </w:p>
  </w:footnote>
  <w:footnote w:id="24">
    <w:p w14:paraId="5455904F" w14:textId="7276FDD6"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w:t>
      </w:r>
    </w:p>
  </w:footnote>
  <w:footnote w:id="25">
    <w:p w14:paraId="0F6CC9DB" w14:textId="5D1418F6"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Evelyn Fox Keller, A Feeling for the Organism: The Life and Work of Barbara McClintock. (New York: Henry Holt, 1984).</w:t>
      </w:r>
    </w:p>
  </w:footnote>
  <w:footnote w:id="26">
    <w:p w14:paraId="43D6297F" w14:textId="23ED2607"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Susan </w:t>
      </w:r>
      <w:proofErr w:type="spellStart"/>
      <w:r w:rsidRPr="00B35BB8">
        <w:rPr>
          <w:rStyle w:val="Fodnotehenvisning"/>
        </w:rPr>
        <w:t>Oyama</w:t>
      </w:r>
      <w:proofErr w:type="spellEnd"/>
      <w:r w:rsidRPr="00B35BB8">
        <w:rPr>
          <w:rStyle w:val="Fodnotehenvisning"/>
        </w:rPr>
        <w:t xml:space="preserve">, Evolution’s Eye: A System’s View of the Biology-Culture Divide. (Durham: Duke University Press, 2000a); Susan </w:t>
      </w:r>
      <w:proofErr w:type="spellStart"/>
      <w:r w:rsidRPr="00B35BB8">
        <w:rPr>
          <w:rStyle w:val="Fodnotehenvisning"/>
        </w:rPr>
        <w:t>Oyama</w:t>
      </w:r>
      <w:proofErr w:type="spellEnd"/>
      <w:r w:rsidRPr="00B35BB8">
        <w:rPr>
          <w:rStyle w:val="Fodnotehenvisning"/>
        </w:rPr>
        <w:t xml:space="preserve">, The Ontogeny of Information: Developmental Systems and Evolution. (2nd ed.). (Durham: Duke University Press, 2000b); Susan </w:t>
      </w:r>
      <w:proofErr w:type="spellStart"/>
      <w:r w:rsidRPr="00B35BB8">
        <w:rPr>
          <w:rStyle w:val="Fodnotehenvisning"/>
        </w:rPr>
        <w:t>Oyama</w:t>
      </w:r>
      <w:proofErr w:type="spellEnd"/>
      <w:r w:rsidRPr="00B35BB8">
        <w:rPr>
          <w:rStyle w:val="Fodnotehenvisning"/>
        </w:rPr>
        <w:t xml:space="preserve">, Paul E. Griffiths,, &amp; Russell D. </w:t>
      </w:r>
      <w:proofErr w:type="spellStart"/>
      <w:r w:rsidRPr="00B35BB8">
        <w:rPr>
          <w:rStyle w:val="Fodnotehenvisning"/>
        </w:rPr>
        <w:t>Gray</w:t>
      </w:r>
      <w:proofErr w:type="spellEnd"/>
      <w:r w:rsidRPr="00B35BB8">
        <w:rPr>
          <w:rStyle w:val="Fodnotehenvisning"/>
        </w:rPr>
        <w:t xml:space="preserve">. (Eds.), Cycles of Contingency: Developmental Systems and Evolution. (Cambridge: MIT Press, 2001); Susan </w:t>
      </w:r>
      <w:proofErr w:type="spellStart"/>
      <w:r w:rsidRPr="00B35BB8">
        <w:rPr>
          <w:rStyle w:val="Fodnotehenvisning"/>
        </w:rPr>
        <w:t>Oyama</w:t>
      </w:r>
      <w:proofErr w:type="spellEnd"/>
      <w:r w:rsidRPr="00B35BB8">
        <w:rPr>
          <w:rStyle w:val="Fodnotehenvisning"/>
        </w:rPr>
        <w:t xml:space="preserve"> </w:t>
      </w:r>
      <w:r>
        <w:rPr>
          <w:rStyle w:val="Fodnotehenvisning"/>
        </w:rPr>
        <w:t>“</w:t>
      </w:r>
      <w:r w:rsidRPr="00B35BB8">
        <w:rPr>
          <w:rStyle w:val="Fodnotehenvisning"/>
        </w:rPr>
        <w:t>Compromising Positions: The minding of matter</w:t>
      </w:r>
      <w:r>
        <w:rPr>
          <w:rStyle w:val="Fodnotehenvisning"/>
        </w:rPr>
        <w:t>”</w:t>
      </w:r>
      <w:r w:rsidRPr="00B35BB8">
        <w:rPr>
          <w:rStyle w:val="Fodnotehenvisning"/>
        </w:rPr>
        <w:t xml:space="preserve"> in Anouk </w:t>
      </w:r>
      <w:proofErr w:type="spellStart"/>
      <w:r w:rsidRPr="00B35BB8">
        <w:rPr>
          <w:rStyle w:val="Fodnotehenvisning"/>
        </w:rPr>
        <w:t>Berberousse</w:t>
      </w:r>
      <w:proofErr w:type="spellEnd"/>
      <w:r w:rsidRPr="00B35BB8">
        <w:rPr>
          <w:rStyle w:val="Fodnotehenvisning"/>
        </w:rPr>
        <w:t xml:space="preserve">, Michel </w:t>
      </w:r>
      <w:proofErr w:type="spellStart"/>
      <w:r w:rsidRPr="00B35BB8">
        <w:rPr>
          <w:rStyle w:val="Fodnotehenvisning"/>
        </w:rPr>
        <w:t>Morange</w:t>
      </w:r>
      <w:proofErr w:type="spellEnd"/>
      <w:r w:rsidRPr="00B35BB8">
        <w:rPr>
          <w:rStyle w:val="Fodnotehenvisning"/>
        </w:rPr>
        <w:t xml:space="preserve"> &amp; Thomas </w:t>
      </w:r>
      <w:proofErr w:type="spellStart"/>
      <w:r w:rsidRPr="00B35BB8">
        <w:rPr>
          <w:rStyle w:val="Fodnotehenvisning"/>
        </w:rPr>
        <w:t>Pradeu</w:t>
      </w:r>
      <w:proofErr w:type="spellEnd"/>
      <w:r w:rsidRPr="00B35BB8">
        <w:rPr>
          <w:rStyle w:val="Fodnotehenvisning"/>
        </w:rPr>
        <w:t xml:space="preserve"> (Eds.) Mapping the Future of Biology. (Netherlands: Springer, 2009). </w:t>
      </w:r>
    </w:p>
  </w:footnote>
  <w:footnote w:id="27">
    <w:p w14:paraId="70BA03DD" w14:textId="3FAA278E" w:rsidR="0035457A" w:rsidRPr="00B35BB8" w:rsidRDefault="0035457A">
      <w:pPr>
        <w:pStyle w:val="Fodnotetekst"/>
        <w:rPr>
          <w:rStyle w:val="Fodnotehenvisning"/>
        </w:rPr>
      </w:pPr>
      <w:r w:rsidRPr="00B35BB8">
        <w:rPr>
          <w:rStyle w:val="Fodnotehenvisning"/>
        </w:rPr>
        <w:footnoteRef/>
      </w:r>
      <w:r w:rsidRPr="00B35BB8">
        <w:rPr>
          <w:rStyle w:val="Fodnotehenvisning"/>
        </w:rPr>
        <w:t xml:space="preserve"> </w:t>
      </w:r>
      <w:proofErr w:type="spellStart"/>
      <w:r w:rsidRPr="00B35BB8">
        <w:rPr>
          <w:rStyle w:val="Fodnotehenvisning"/>
        </w:rPr>
        <w:t>Oyama</w:t>
      </w:r>
      <w:proofErr w:type="spellEnd"/>
      <w:r w:rsidRPr="00B35BB8">
        <w:rPr>
          <w:rStyle w:val="Fodnotehenvisning"/>
        </w:rPr>
        <w:t>, 2009, 27.</w:t>
      </w:r>
    </w:p>
  </w:footnote>
  <w:footnote w:id="28">
    <w:p w14:paraId="32DE8DD1" w14:textId="4701750C"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Richard Dawkins, The Extended Phenotype: The Gene as the Unit of Selection. (Oxford: Oxford University Press, 1982); Richard Dawkins, The Selfish Gene. (Oxford: Oxford University Press, 1976).</w:t>
      </w:r>
    </w:p>
  </w:footnote>
  <w:footnote w:id="29">
    <w:p w14:paraId="734049CE" w14:textId="26D715AD" w:rsidR="0035457A" w:rsidRPr="00B35BB8" w:rsidRDefault="0035457A">
      <w:pPr>
        <w:pStyle w:val="Fodnotetekst"/>
        <w:rPr>
          <w:rStyle w:val="Fodnotehenvisning"/>
        </w:rPr>
      </w:pPr>
      <w:r w:rsidRPr="00B35BB8">
        <w:rPr>
          <w:rStyle w:val="Fodnotehenvisning"/>
        </w:rPr>
        <w:footnoteRef/>
      </w:r>
      <w:r w:rsidRPr="00B35BB8">
        <w:rPr>
          <w:rStyle w:val="Fodnotehenvisning"/>
        </w:rPr>
        <w:t xml:space="preserve"> </w:t>
      </w:r>
      <w:proofErr w:type="spellStart"/>
      <w:r w:rsidRPr="00B35BB8">
        <w:rPr>
          <w:rStyle w:val="Fodnotehenvisning"/>
        </w:rPr>
        <w:t>Oyama</w:t>
      </w:r>
      <w:proofErr w:type="spellEnd"/>
      <w:r w:rsidRPr="00B35BB8">
        <w:rPr>
          <w:rStyle w:val="Fodnotehenvisning"/>
        </w:rPr>
        <w:t>, 2009, 36.</w:t>
      </w:r>
    </w:p>
  </w:footnote>
  <w:footnote w:id="30">
    <w:p w14:paraId="583E3ACC" w14:textId="029643E3" w:rsidR="0035457A" w:rsidRPr="00B35BB8" w:rsidRDefault="0035457A">
      <w:pPr>
        <w:pStyle w:val="Fodnotetekst"/>
        <w:rPr>
          <w:rStyle w:val="Fodnotehenvisning"/>
          <w:lang w:val="en-US"/>
        </w:rPr>
      </w:pPr>
      <w:r w:rsidRPr="00B35BB8">
        <w:rPr>
          <w:rStyle w:val="Fodnotehenvisning"/>
        </w:rPr>
        <w:footnoteRef/>
      </w:r>
      <w:r w:rsidRPr="00B35BB8">
        <w:rPr>
          <w:rStyle w:val="Fodnotehenvisning"/>
        </w:rPr>
        <w:t xml:space="preserve"> Ibid, 41.</w:t>
      </w:r>
    </w:p>
  </w:footnote>
  <w:footnote w:id="31">
    <w:p w14:paraId="0C45E482" w14:textId="10A28D1F"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Daniel Dennett, Darwin’s Dangerous Idea. (New York: Simon &amp; Schuster, 1995).</w:t>
      </w:r>
    </w:p>
  </w:footnote>
  <w:footnote w:id="32">
    <w:p w14:paraId="76F8EFEC" w14:textId="4AE4F4A2" w:rsidR="0035457A" w:rsidRPr="00B35BB8" w:rsidRDefault="0035457A">
      <w:pPr>
        <w:pStyle w:val="Fodnotetekst"/>
        <w:rPr>
          <w:rStyle w:val="Fodnotehenvisning"/>
        </w:rPr>
      </w:pPr>
      <w:r w:rsidRPr="00B35BB8">
        <w:rPr>
          <w:rStyle w:val="Fodnotehenvisning"/>
        </w:rPr>
        <w:footnoteRef/>
      </w:r>
      <w:r w:rsidRPr="00B35BB8">
        <w:rPr>
          <w:rStyle w:val="Fodnotehenvisning"/>
        </w:rPr>
        <w:t xml:space="preserve"> </w:t>
      </w:r>
      <w:proofErr w:type="spellStart"/>
      <w:r w:rsidRPr="00B35BB8">
        <w:rPr>
          <w:rStyle w:val="Fodnotehenvisning"/>
        </w:rPr>
        <w:t>Oyama</w:t>
      </w:r>
      <w:proofErr w:type="spellEnd"/>
      <w:r w:rsidRPr="00B35BB8">
        <w:rPr>
          <w:rStyle w:val="Fodnotehenvisning"/>
        </w:rPr>
        <w:t>, 2009, 42.</w:t>
      </w:r>
    </w:p>
  </w:footnote>
  <w:footnote w:id="33">
    <w:p w14:paraId="7EDAD001" w14:textId="12532B60" w:rsidR="0035457A" w:rsidRPr="00B35BB8" w:rsidRDefault="0035457A">
      <w:pPr>
        <w:pStyle w:val="Fodnotetekst"/>
        <w:rPr>
          <w:rStyle w:val="Fodnotehenvisning"/>
        </w:rPr>
      </w:pPr>
      <w:r w:rsidRPr="00B35BB8">
        <w:rPr>
          <w:rStyle w:val="Fodnotehenvisning"/>
        </w:rPr>
        <w:footnoteRef/>
      </w:r>
      <w:r w:rsidRPr="00B35BB8">
        <w:rPr>
          <w:rStyle w:val="Fodnotehenvisning"/>
        </w:rPr>
        <w:t xml:space="preserve"> Ibid, 43.</w:t>
      </w:r>
    </w:p>
  </w:footnote>
  <w:footnote w:id="34">
    <w:p w14:paraId="20AB415E" w14:textId="355297DF"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Gregory Bateson, Steps to an Ecology of Mind. (New York: Ballantine Books, 1972); Gregory Bateson, Mind and Nature: A Necessary Unity. (Toronto: Bantam Books, 1979).</w:t>
      </w:r>
    </w:p>
    <w:p w14:paraId="1FC7AE8B" w14:textId="26CC4FE6" w:rsidR="0035457A" w:rsidRPr="00B35BB8" w:rsidRDefault="0035457A" w:rsidP="001B29E4">
      <w:pPr>
        <w:pStyle w:val="Fodnotetekst"/>
        <w:rPr>
          <w:rStyle w:val="Fodnotehenvisning"/>
        </w:rPr>
      </w:pPr>
    </w:p>
  </w:footnote>
  <w:footnote w:id="35">
    <w:p w14:paraId="4ED76191" w14:textId="0021AB95"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w:t>
      </w:r>
      <w:proofErr w:type="spellStart"/>
      <w:r w:rsidRPr="00B35BB8">
        <w:rPr>
          <w:rStyle w:val="Fodnotehenvisning"/>
        </w:rPr>
        <w:t>Oyama</w:t>
      </w:r>
      <w:proofErr w:type="spellEnd"/>
      <w:r w:rsidRPr="00B35BB8">
        <w:rPr>
          <w:rStyle w:val="Fodnotehenvisning"/>
        </w:rPr>
        <w:t>, 2000a, 147.</w:t>
      </w:r>
    </w:p>
  </w:footnote>
  <w:footnote w:id="36">
    <w:p w14:paraId="167E6D61" w14:textId="51E0B399"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Alfred North Whitehead, Adventures of Ideas. (New York: The Free Press, 1967).</w:t>
      </w:r>
    </w:p>
  </w:footnote>
  <w:footnote w:id="37">
    <w:p w14:paraId="6395226E" w14:textId="54583204"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w:t>
      </w:r>
      <w:proofErr w:type="spellStart"/>
      <w:r w:rsidRPr="00B35BB8">
        <w:rPr>
          <w:rStyle w:val="Fodnotehenvisning"/>
        </w:rPr>
        <w:t>Oyama</w:t>
      </w:r>
      <w:proofErr w:type="spellEnd"/>
      <w:r w:rsidRPr="00B35BB8">
        <w:rPr>
          <w:rStyle w:val="Fodnotehenvisning"/>
        </w:rPr>
        <w:t>, 2000a, 149.</w:t>
      </w:r>
    </w:p>
  </w:footnote>
  <w:footnote w:id="38">
    <w:p w14:paraId="0154C6EE" w14:textId="77402888"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Ibid, 149.</w:t>
      </w:r>
    </w:p>
  </w:footnote>
  <w:footnote w:id="39">
    <w:p w14:paraId="0C95BD43" w14:textId="7F98CCF6"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Isabel </w:t>
      </w:r>
      <w:proofErr w:type="spellStart"/>
      <w:r w:rsidRPr="00B35BB8">
        <w:rPr>
          <w:rStyle w:val="Fodnotehenvisning"/>
        </w:rPr>
        <w:t>Stengers</w:t>
      </w:r>
      <w:proofErr w:type="spellEnd"/>
      <w:r w:rsidRPr="00B35BB8">
        <w:rPr>
          <w:rStyle w:val="Fodnotehenvisning"/>
        </w:rPr>
        <w:t xml:space="preserve">, Invention of Modern Science. (Minneapolis: University of Minnesota Press, 2000); Isabel </w:t>
      </w:r>
      <w:proofErr w:type="spellStart"/>
      <w:r w:rsidRPr="00B35BB8">
        <w:rPr>
          <w:rStyle w:val="Fodnotehenvisning"/>
        </w:rPr>
        <w:t>Stengers</w:t>
      </w:r>
      <w:proofErr w:type="spellEnd"/>
      <w:r w:rsidRPr="00B35BB8">
        <w:rPr>
          <w:rStyle w:val="Fodnotehenvisning"/>
        </w:rPr>
        <w:t>, Power and Invention: Situating Science. (Minneapolis: University of Minnesota Press, 1997).</w:t>
      </w:r>
    </w:p>
  </w:footnote>
  <w:footnote w:id="40">
    <w:p w14:paraId="68ACC94B" w14:textId="66221DDA" w:rsidR="0035457A" w:rsidRPr="00ED429E" w:rsidRDefault="0035457A">
      <w:pPr>
        <w:pStyle w:val="Fodnotetekst"/>
        <w:rPr>
          <w:lang w:val="en-US"/>
        </w:rPr>
      </w:pPr>
      <w:r>
        <w:rPr>
          <w:rStyle w:val="Fodnotehenvisning"/>
        </w:rPr>
        <w:footnoteRef/>
      </w:r>
      <w:r>
        <w:t xml:space="preserve"> </w:t>
      </w:r>
      <w:r w:rsidRPr="00B35BB8">
        <w:rPr>
          <w:rStyle w:val="Fodnotehenvisning"/>
        </w:rPr>
        <w:t>Elizabeth Grosz, Becoming Undone: Darwinian Reflections on Life, Politics and Art.  (Durham: Duke University Press, 2011).</w:t>
      </w:r>
    </w:p>
  </w:footnote>
  <w:footnote w:id="41">
    <w:p w14:paraId="43C7E815" w14:textId="64AA6227"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w:t>
      </w:r>
      <w:proofErr w:type="spellStart"/>
      <w:r w:rsidRPr="00B35BB8">
        <w:rPr>
          <w:rStyle w:val="Fodnotehenvisning"/>
        </w:rPr>
        <w:t>Stengers</w:t>
      </w:r>
      <w:proofErr w:type="spellEnd"/>
      <w:r w:rsidRPr="00B35BB8">
        <w:rPr>
          <w:rStyle w:val="Fodnotehenvisning"/>
        </w:rPr>
        <w:t>, 2000, 46.</w:t>
      </w:r>
    </w:p>
  </w:footnote>
  <w:footnote w:id="42">
    <w:p w14:paraId="5A60B042" w14:textId="4F9A765A"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Fox Keller, 112.</w:t>
      </w:r>
    </w:p>
  </w:footnote>
  <w:footnote w:id="43">
    <w:p w14:paraId="2138703E" w14:textId="26116911"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Ibid, 115.</w:t>
      </w:r>
    </w:p>
  </w:footnote>
  <w:footnote w:id="44">
    <w:p w14:paraId="6CD07DA5" w14:textId="5D477E4A"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Ibid, 124.</w:t>
      </w:r>
    </w:p>
  </w:footnote>
  <w:footnote w:id="45">
    <w:p w14:paraId="1DF6A7A8" w14:textId="546D68AF"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Ibid, 126</w:t>
      </w:r>
    </w:p>
  </w:footnote>
  <w:footnote w:id="46">
    <w:p w14:paraId="3DCCCF94" w14:textId="780C9FD6"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w:t>
      </w:r>
      <w:proofErr w:type="spellStart"/>
      <w:r w:rsidRPr="00B35BB8">
        <w:rPr>
          <w:rStyle w:val="Fodnotehenvisning"/>
        </w:rPr>
        <w:t>Stengers</w:t>
      </w:r>
      <w:proofErr w:type="spellEnd"/>
      <w:r w:rsidRPr="00B35BB8">
        <w:rPr>
          <w:rStyle w:val="Fodnotehenvisning"/>
        </w:rPr>
        <w:t>, 1997, 129.</w:t>
      </w:r>
    </w:p>
  </w:footnote>
  <w:footnote w:id="47">
    <w:p w14:paraId="5B77DE86" w14:textId="188272B7"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Grosz, 13.</w:t>
      </w:r>
    </w:p>
  </w:footnote>
  <w:footnote w:id="48">
    <w:p w14:paraId="3EAD5699" w14:textId="4191D3E6"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Richard Sennett, The Craftsman. (New Haven: Yale University Press, 2009).</w:t>
      </w:r>
    </w:p>
  </w:footnote>
  <w:footnote w:id="49">
    <w:p w14:paraId="0921B0DB" w14:textId="2306A0A9"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Sennett, 8.</w:t>
      </w:r>
    </w:p>
  </w:footnote>
  <w:footnote w:id="50">
    <w:p w14:paraId="5FDCBB0A" w14:textId="0AF2D197"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Ibid, 9.</w:t>
      </w:r>
    </w:p>
  </w:footnote>
  <w:footnote w:id="51">
    <w:p w14:paraId="23E2BD64" w14:textId="167F6103"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Ibid, 9.</w:t>
      </w:r>
    </w:p>
  </w:footnote>
  <w:footnote w:id="52">
    <w:p w14:paraId="6506F4A8" w14:textId="6EA53443" w:rsidR="0035457A" w:rsidRPr="00B35BB8" w:rsidRDefault="0035457A" w:rsidP="001B29E4">
      <w:pPr>
        <w:pStyle w:val="Fodnotetekst"/>
        <w:rPr>
          <w:rStyle w:val="Fodnotehenvisning"/>
        </w:rPr>
      </w:pPr>
      <w:r w:rsidRPr="00B35BB8">
        <w:rPr>
          <w:rStyle w:val="Fodnotehenvisning"/>
        </w:rPr>
        <w:footnoteRef/>
      </w:r>
      <w:r w:rsidRPr="00B35BB8">
        <w:rPr>
          <w:rStyle w:val="Fodnotehenvisning"/>
        </w:rPr>
        <w:t xml:space="preserve"> Ibid,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56612"/>
    <w:multiLevelType w:val="hybridMultilevel"/>
    <w:tmpl w:val="659A64F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4BB349B8"/>
    <w:multiLevelType w:val="hybridMultilevel"/>
    <w:tmpl w:val="82B86122"/>
    <w:lvl w:ilvl="0" w:tplc="D31A1AE2">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5390A719"/>
    <w:multiLevelType w:val="hybridMultilevel"/>
    <w:tmpl w:val="E39F53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136"/>
    <w:rsid w:val="00012DE7"/>
    <w:rsid w:val="00017E6B"/>
    <w:rsid w:val="00020A4A"/>
    <w:rsid w:val="00032E86"/>
    <w:rsid w:val="0004392E"/>
    <w:rsid w:val="00044624"/>
    <w:rsid w:val="00052620"/>
    <w:rsid w:val="000564BD"/>
    <w:rsid w:val="00065CD2"/>
    <w:rsid w:val="00092817"/>
    <w:rsid w:val="000A7FD8"/>
    <w:rsid w:val="000C4ACC"/>
    <w:rsid w:val="000F4DE0"/>
    <w:rsid w:val="00127630"/>
    <w:rsid w:val="00147A4C"/>
    <w:rsid w:val="0017448A"/>
    <w:rsid w:val="001848B8"/>
    <w:rsid w:val="0018652B"/>
    <w:rsid w:val="001B29E4"/>
    <w:rsid w:val="001B3F98"/>
    <w:rsid w:val="001D1CD2"/>
    <w:rsid w:val="001E1BC2"/>
    <w:rsid w:val="00217CFC"/>
    <w:rsid w:val="0022650B"/>
    <w:rsid w:val="0023747D"/>
    <w:rsid w:val="0025742D"/>
    <w:rsid w:val="00257BF2"/>
    <w:rsid w:val="00265A8F"/>
    <w:rsid w:val="00287190"/>
    <w:rsid w:val="002928A5"/>
    <w:rsid w:val="002A5301"/>
    <w:rsid w:val="002C367D"/>
    <w:rsid w:val="002E000D"/>
    <w:rsid w:val="002E0E22"/>
    <w:rsid w:val="002E7789"/>
    <w:rsid w:val="002F4D49"/>
    <w:rsid w:val="00305996"/>
    <w:rsid w:val="00324C5C"/>
    <w:rsid w:val="00337B31"/>
    <w:rsid w:val="0034290C"/>
    <w:rsid w:val="00354012"/>
    <w:rsid w:val="0035457A"/>
    <w:rsid w:val="003550D8"/>
    <w:rsid w:val="00386FEC"/>
    <w:rsid w:val="003A4C9D"/>
    <w:rsid w:val="003B314C"/>
    <w:rsid w:val="003C3622"/>
    <w:rsid w:val="003C7060"/>
    <w:rsid w:val="003D2DB4"/>
    <w:rsid w:val="003E18BD"/>
    <w:rsid w:val="003F02BC"/>
    <w:rsid w:val="00402809"/>
    <w:rsid w:val="00403CBF"/>
    <w:rsid w:val="00420DF2"/>
    <w:rsid w:val="00427BA8"/>
    <w:rsid w:val="0044224F"/>
    <w:rsid w:val="004654BC"/>
    <w:rsid w:val="004B228D"/>
    <w:rsid w:val="004D2430"/>
    <w:rsid w:val="005126D8"/>
    <w:rsid w:val="00512FB6"/>
    <w:rsid w:val="005167FF"/>
    <w:rsid w:val="00525C64"/>
    <w:rsid w:val="0053075A"/>
    <w:rsid w:val="00550725"/>
    <w:rsid w:val="00552FD1"/>
    <w:rsid w:val="0056643B"/>
    <w:rsid w:val="005737BB"/>
    <w:rsid w:val="0057766A"/>
    <w:rsid w:val="00580FDF"/>
    <w:rsid w:val="00586473"/>
    <w:rsid w:val="00597C43"/>
    <w:rsid w:val="005A771B"/>
    <w:rsid w:val="005B35DC"/>
    <w:rsid w:val="005C4255"/>
    <w:rsid w:val="005E1221"/>
    <w:rsid w:val="005F2A32"/>
    <w:rsid w:val="00614369"/>
    <w:rsid w:val="0061554E"/>
    <w:rsid w:val="0062681A"/>
    <w:rsid w:val="00632B8E"/>
    <w:rsid w:val="00647311"/>
    <w:rsid w:val="00653CB0"/>
    <w:rsid w:val="006B4693"/>
    <w:rsid w:val="006D3E1C"/>
    <w:rsid w:val="006E0D1D"/>
    <w:rsid w:val="006F488A"/>
    <w:rsid w:val="00700CB0"/>
    <w:rsid w:val="007146C7"/>
    <w:rsid w:val="0073161A"/>
    <w:rsid w:val="00740F77"/>
    <w:rsid w:val="007477FB"/>
    <w:rsid w:val="00773A85"/>
    <w:rsid w:val="007761E8"/>
    <w:rsid w:val="00796BF2"/>
    <w:rsid w:val="007C4FD5"/>
    <w:rsid w:val="007E0253"/>
    <w:rsid w:val="007F3870"/>
    <w:rsid w:val="007F70E9"/>
    <w:rsid w:val="007F763E"/>
    <w:rsid w:val="0080017B"/>
    <w:rsid w:val="00803A8A"/>
    <w:rsid w:val="00804E80"/>
    <w:rsid w:val="008058FE"/>
    <w:rsid w:val="0081117C"/>
    <w:rsid w:val="00821244"/>
    <w:rsid w:val="008A045A"/>
    <w:rsid w:val="008A3F96"/>
    <w:rsid w:val="008A5135"/>
    <w:rsid w:val="008C6417"/>
    <w:rsid w:val="008C76FA"/>
    <w:rsid w:val="008D1C8B"/>
    <w:rsid w:val="008E4FBA"/>
    <w:rsid w:val="008E6F20"/>
    <w:rsid w:val="008F373D"/>
    <w:rsid w:val="00900070"/>
    <w:rsid w:val="00902155"/>
    <w:rsid w:val="0090313B"/>
    <w:rsid w:val="009248DD"/>
    <w:rsid w:val="00934E52"/>
    <w:rsid w:val="0093538A"/>
    <w:rsid w:val="009366A4"/>
    <w:rsid w:val="00953AA0"/>
    <w:rsid w:val="00966588"/>
    <w:rsid w:val="009924EB"/>
    <w:rsid w:val="009B6C2B"/>
    <w:rsid w:val="009C055D"/>
    <w:rsid w:val="009C1B24"/>
    <w:rsid w:val="009D5460"/>
    <w:rsid w:val="009E6B84"/>
    <w:rsid w:val="009F7AE0"/>
    <w:rsid w:val="00A12E24"/>
    <w:rsid w:val="00A14171"/>
    <w:rsid w:val="00A2608A"/>
    <w:rsid w:val="00A60B81"/>
    <w:rsid w:val="00A72FB0"/>
    <w:rsid w:val="00A747DE"/>
    <w:rsid w:val="00A7768B"/>
    <w:rsid w:val="00A804DA"/>
    <w:rsid w:val="00AB13AD"/>
    <w:rsid w:val="00AB4B20"/>
    <w:rsid w:val="00AC66D7"/>
    <w:rsid w:val="00AF12BC"/>
    <w:rsid w:val="00B0291D"/>
    <w:rsid w:val="00B04D96"/>
    <w:rsid w:val="00B26BA4"/>
    <w:rsid w:val="00B35BB8"/>
    <w:rsid w:val="00B561C5"/>
    <w:rsid w:val="00BA0327"/>
    <w:rsid w:val="00BC55AC"/>
    <w:rsid w:val="00C073C1"/>
    <w:rsid w:val="00C21735"/>
    <w:rsid w:val="00C31105"/>
    <w:rsid w:val="00C56606"/>
    <w:rsid w:val="00C570EC"/>
    <w:rsid w:val="00C60828"/>
    <w:rsid w:val="00C65BA9"/>
    <w:rsid w:val="00C70594"/>
    <w:rsid w:val="00C80136"/>
    <w:rsid w:val="00C8096E"/>
    <w:rsid w:val="00C80E2B"/>
    <w:rsid w:val="00C82008"/>
    <w:rsid w:val="00C8399A"/>
    <w:rsid w:val="00C845A2"/>
    <w:rsid w:val="00C91A2E"/>
    <w:rsid w:val="00CB22D9"/>
    <w:rsid w:val="00CD65C9"/>
    <w:rsid w:val="00CE4E61"/>
    <w:rsid w:val="00CF0B69"/>
    <w:rsid w:val="00D024C1"/>
    <w:rsid w:val="00D02B27"/>
    <w:rsid w:val="00D47F7B"/>
    <w:rsid w:val="00D777D5"/>
    <w:rsid w:val="00DA1735"/>
    <w:rsid w:val="00DA1B4C"/>
    <w:rsid w:val="00DA40E3"/>
    <w:rsid w:val="00DC1715"/>
    <w:rsid w:val="00DD7322"/>
    <w:rsid w:val="00DE2F50"/>
    <w:rsid w:val="00DE3F47"/>
    <w:rsid w:val="00DE7210"/>
    <w:rsid w:val="00E01E71"/>
    <w:rsid w:val="00E1635F"/>
    <w:rsid w:val="00E25B16"/>
    <w:rsid w:val="00E27067"/>
    <w:rsid w:val="00E36181"/>
    <w:rsid w:val="00E46791"/>
    <w:rsid w:val="00E5343B"/>
    <w:rsid w:val="00E549D6"/>
    <w:rsid w:val="00E64108"/>
    <w:rsid w:val="00E67B8F"/>
    <w:rsid w:val="00E84278"/>
    <w:rsid w:val="00E90620"/>
    <w:rsid w:val="00EB1F0F"/>
    <w:rsid w:val="00EB4033"/>
    <w:rsid w:val="00EC5926"/>
    <w:rsid w:val="00EC6A0E"/>
    <w:rsid w:val="00ED2014"/>
    <w:rsid w:val="00ED2DB7"/>
    <w:rsid w:val="00ED429E"/>
    <w:rsid w:val="00ED692A"/>
    <w:rsid w:val="00EF0802"/>
    <w:rsid w:val="00F028DB"/>
    <w:rsid w:val="00F05B5E"/>
    <w:rsid w:val="00F211CB"/>
    <w:rsid w:val="00F22861"/>
    <w:rsid w:val="00F41692"/>
    <w:rsid w:val="00F72AF0"/>
    <w:rsid w:val="00F83BBD"/>
    <w:rsid w:val="00F84890"/>
    <w:rsid w:val="00F84939"/>
    <w:rsid w:val="00FB1299"/>
    <w:rsid w:val="00FD2BFC"/>
    <w:rsid w:val="00FF1AD6"/>
    <w:rsid w:val="00FF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9C76C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D35D75"/>
    <w:rPr>
      <w:color w:val="0000FF"/>
      <w:u w:val="single"/>
    </w:rPr>
  </w:style>
  <w:style w:type="character" w:customStyle="1" w:styleId="a">
    <w:name w:val="a"/>
    <w:basedOn w:val="Standardskrifttypeiafsnit"/>
    <w:rsid w:val="00DD3B90"/>
  </w:style>
  <w:style w:type="paragraph" w:styleId="Sidefod">
    <w:name w:val="footer"/>
    <w:basedOn w:val="Normal"/>
    <w:semiHidden/>
    <w:rsid w:val="00DD3B90"/>
    <w:pPr>
      <w:tabs>
        <w:tab w:val="center" w:pos="4320"/>
        <w:tab w:val="right" w:pos="8640"/>
      </w:tabs>
    </w:pPr>
  </w:style>
  <w:style w:type="character" w:styleId="Sidetal">
    <w:name w:val="page number"/>
    <w:basedOn w:val="Standardskrifttypeiafsnit"/>
    <w:rsid w:val="00DD3B90"/>
  </w:style>
  <w:style w:type="paragraph" w:styleId="Markeringsbobletekst">
    <w:name w:val="Balloon Text"/>
    <w:basedOn w:val="Normal"/>
    <w:link w:val="MarkeringsbobletekstTegn"/>
    <w:uiPriority w:val="99"/>
    <w:semiHidden/>
    <w:unhideWhenUsed/>
    <w:rsid w:val="00C070EA"/>
    <w:rPr>
      <w:rFonts w:ascii="Tahoma" w:hAnsi="Tahoma" w:cs="Tahoma"/>
      <w:sz w:val="16"/>
      <w:szCs w:val="16"/>
    </w:rPr>
  </w:style>
  <w:style w:type="character" w:customStyle="1" w:styleId="MarkeringsbobletekstTegn">
    <w:name w:val="Markeringsbobletekst Tegn"/>
    <w:link w:val="Markeringsbobletekst"/>
    <w:uiPriority w:val="99"/>
    <w:semiHidden/>
    <w:rsid w:val="00C070EA"/>
    <w:rPr>
      <w:rFonts w:ascii="Tahoma" w:hAnsi="Tahoma" w:cs="Tahoma"/>
      <w:sz w:val="16"/>
      <w:szCs w:val="16"/>
      <w:lang w:val="en-GB" w:eastAsia="en-US"/>
    </w:rPr>
  </w:style>
  <w:style w:type="paragraph" w:styleId="Sidehoved">
    <w:name w:val="header"/>
    <w:basedOn w:val="Normal"/>
    <w:rsid w:val="0058482C"/>
    <w:pPr>
      <w:tabs>
        <w:tab w:val="center" w:pos="4320"/>
        <w:tab w:val="right" w:pos="8640"/>
      </w:tabs>
    </w:pPr>
  </w:style>
  <w:style w:type="paragraph" w:styleId="Listeafsnit">
    <w:name w:val="List Paragraph"/>
    <w:basedOn w:val="Normal"/>
    <w:uiPriority w:val="34"/>
    <w:qFormat/>
    <w:rsid w:val="00386FEC"/>
    <w:pPr>
      <w:ind w:left="720"/>
      <w:contextualSpacing/>
    </w:pPr>
  </w:style>
  <w:style w:type="character" w:styleId="Kommentarhenvisning">
    <w:name w:val="annotation reference"/>
    <w:basedOn w:val="Standardskrifttypeiafsnit"/>
    <w:uiPriority w:val="99"/>
    <w:semiHidden/>
    <w:unhideWhenUsed/>
    <w:rsid w:val="005B35DC"/>
    <w:rPr>
      <w:sz w:val="16"/>
      <w:szCs w:val="16"/>
    </w:rPr>
  </w:style>
  <w:style w:type="paragraph" w:styleId="Kommentartekst">
    <w:name w:val="annotation text"/>
    <w:basedOn w:val="Normal"/>
    <w:link w:val="KommentartekstTegn"/>
    <w:uiPriority w:val="99"/>
    <w:semiHidden/>
    <w:unhideWhenUsed/>
    <w:rsid w:val="005B35DC"/>
    <w:rPr>
      <w:sz w:val="20"/>
      <w:szCs w:val="20"/>
    </w:rPr>
  </w:style>
  <w:style w:type="character" w:customStyle="1" w:styleId="KommentartekstTegn">
    <w:name w:val="Kommentartekst Tegn"/>
    <w:basedOn w:val="Standardskrifttypeiafsnit"/>
    <w:link w:val="Kommentartekst"/>
    <w:uiPriority w:val="99"/>
    <w:semiHidden/>
    <w:rsid w:val="005B35DC"/>
    <w:rPr>
      <w:lang w:val="en-GB"/>
    </w:rPr>
  </w:style>
  <w:style w:type="paragraph" w:styleId="Kommentaremne">
    <w:name w:val="annotation subject"/>
    <w:basedOn w:val="Kommentartekst"/>
    <w:next w:val="Kommentartekst"/>
    <w:link w:val="KommentaremneTegn"/>
    <w:uiPriority w:val="99"/>
    <w:semiHidden/>
    <w:unhideWhenUsed/>
    <w:rsid w:val="005B35DC"/>
    <w:rPr>
      <w:b/>
      <w:bCs/>
    </w:rPr>
  </w:style>
  <w:style w:type="character" w:customStyle="1" w:styleId="KommentaremneTegn">
    <w:name w:val="Kommentaremne Tegn"/>
    <w:basedOn w:val="KommentartekstTegn"/>
    <w:link w:val="Kommentaremne"/>
    <w:uiPriority w:val="99"/>
    <w:semiHidden/>
    <w:rsid w:val="005B35DC"/>
    <w:rPr>
      <w:b/>
      <w:bCs/>
      <w:lang w:val="en-GB"/>
    </w:rPr>
  </w:style>
  <w:style w:type="character" w:customStyle="1" w:styleId="st">
    <w:name w:val="st"/>
    <w:basedOn w:val="Standardskrifttypeiafsnit"/>
    <w:rsid w:val="009248DD"/>
  </w:style>
  <w:style w:type="character" w:styleId="Fremhv">
    <w:name w:val="Emphasis"/>
    <w:basedOn w:val="Standardskrifttypeiafsnit"/>
    <w:uiPriority w:val="20"/>
    <w:qFormat/>
    <w:rsid w:val="009248DD"/>
    <w:rPr>
      <w:i/>
      <w:iCs/>
    </w:rPr>
  </w:style>
  <w:style w:type="paragraph" w:styleId="Fodnotetekst">
    <w:name w:val="footnote text"/>
    <w:basedOn w:val="Normal"/>
    <w:link w:val="FodnotetekstTegn"/>
    <w:autoRedefine/>
    <w:uiPriority w:val="99"/>
    <w:unhideWhenUsed/>
    <w:rsid w:val="001B29E4"/>
    <w:rPr>
      <w:sz w:val="18"/>
      <w:szCs w:val="18"/>
    </w:rPr>
  </w:style>
  <w:style w:type="character" w:customStyle="1" w:styleId="FodnotetekstTegn">
    <w:name w:val="Fodnotetekst Tegn"/>
    <w:basedOn w:val="Standardskrifttypeiafsnit"/>
    <w:link w:val="Fodnotetekst"/>
    <w:uiPriority w:val="99"/>
    <w:rsid w:val="001B29E4"/>
    <w:rPr>
      <w:sz w:val="18"/>
      <w:szCs w:val="18"/>
      <w:lang w:val="en-GB"/>
    </w:rPr>
  </w:style>
  <w:style w:type="character" w:styleId="Fodnotehenvisning">
    <w:name w:val="footnote reference"/>
    <w:basedOn w:val="Standardskrifttypeiafsnit"/>
    <w:uiPriority w:val="99"/>
    <w:unhideWhenUsed/>
    <w:rsid w:val="00953A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D35D75"/>
    <w:rPr>
      <w:color w:val="0000FF"/>
      <w:u w:val="single"/>
    </w:rPr>
  </w:style>
  <w:style w:type="character" w:customStyle="1" w:styleId="a">
    <w:name w:val="a"/>
    <w:basedOn w:val="Standardskrifttypeiafsnit"/>
    <w:rsid w:val="00DD3B90"/>
  </w:style>
  <w:style w:type="paragraph" w:styleId="Sidefod">
    <w:name w:val="footer"/>
    <w:basedOn w:val="Normal"/>
    <w:semiHidden/>
    <w:rsid w:val="00DD3B90"/>
    <w:pPr>
      <w:tabs>
        <w:tab w:val="center" w:pos="4320"/>
        <w:tab w:val="right" w:pos="8640"/>
      </w:tabs>
    </w:pPr>
  </w:style>
  <w:style w:type="character" w:styleId="Sidetal">
    <w:name w:val="page number"/>
    <w:basedOn w:val="Standardskrifttypeiafsnit"/>
    <w:rsid w:val="00DD3B90"/>
  </w:style>
  <w:style w:type="paragraph" w:styleId="Markeringsbobletekst">
    <w:name w:val="Balloon Text"/>
    <w:basedOn w:val="Normal"/>
    <w:link w:val="MarkeringsbobletekstTegn"/>
    <w:uiPriority w:val="99"/>
    <w:semiHidden/>
    <w:unhideWhenUsed/>
    <w:rsid w:val="00C070EA"/>
    <w:rPr>
      <w:rFonts w:ascii="Tahoma" w:hAnsi="Tahoma" w:cs="Tahoma"/>
      <w:sz w:val="16"/>
      <w:szCs w:val="16"/>
    </w:rPr>
  </w:style>
  <w:style w:type="character" w:customStyle="1" w:styleId="MarkeringsbobletekstTegn">
    <w:name w:val="Markeringsbobletekst Tegn"/>
    <w:link w:val="Markeringsbobletekst"/>
    <w:uiPriority w:val="99"/>
    <w:semiHidden/>
    <w:rsid w:val="00C070EA"/>
    <w:rPr>
      <w:rFonts w:ascii="Tahoma" w:hAnsi="Tahoma" w:cs="Tahoma"/>
      <w:sz w:val="16"/>
      <w:szCs w:val="16"/>
      <w:lang w:val="en-GB" w:eastAsia="en-US"/>
    </w:rPr>
  </w:style>
  <w:style w:type="paragraph" w:styleId="Sidehoved">
    <w:name w:val="header"/>
    <w:basedOn w:val="Normal"/>
    <w:rsid w:val="0058482C"/>
    <w:pPr>
      <w:tabs>
        <w:tab w:val="center" w:pos="4320"/>
        <w:tab w:val="right" w:pos="8640"/>
      </w:tabs>
    </w:pPr>
  </w:style>
  <w:style w:type="paragraph" w:styleId="Listeafsnit">
    <w:name w:val="List Paragraph"/>
    <w:basedOn w:val="Normal"/>
    <w:uiPriority w:val="34"/>
    <w:qFormat/>
    <w:rsid w:val="00386FEC"/>
    <w:pPr>
      <w:ind w:left="720"/>
      <w:contextualSpacing/>
    </w:pPr>
  </w:style>
  <w:style w:type="character" w:styleId="Kommentarhenvisning">
    <w:name w:val="annotation reference"/>
    <w:basedOn w:val="Standardskrifttypeiafsnit"/>
    <w:uiPriority w:val="99"/>
    <w:semiHidden/>
    <w:unhideWhenUsed/>
    <w:rsid w:val="005B35DC"/>
    <w:rPr>
      <w:sz w:val="16"/>
      <w:szCs w:val="16"/>
    </w:rPr>
  </w:style>
  <w:style w:type="paragraph" w:styleId="Kommentartekst">
    <w:name w:val="annotation text"/>
    <w:basedOn w:val="Normal"/>
    <w:link w:val="KommentartekstTegn"/>
    <w:uiPriority w:val="99"/>
    <w:semiHidden/>
    <w:unhideWhenUsed/>
    <w:rsid w:val="005B35DC"/>
    <w:rPr>
      <w:sz w:val="20"/>
      <w:szCs w:val="20"/>
    </w:rPr>
  </w:style>
  <w:style w:type="character" w:customStyle="1" w:styleId="KommentartekstTegn">
    <w:name w:val="Kommentartekst Tegn"/>
    <w:basedOn w:val="Standardskrifttypeiafsnit"/>
    <w:link w:val="Kommentartekst"/>
    <w:uiPriority w:val="99"/>
    <w:semiHidden/>
    <w:rsid w:val="005B35DC"/>
    <w:rPr>
      <w:lang w:val="en-GB"/>
    </w:rPr>
  </w:style>
  <w:style w:type="paragraph" w:styleId="Kommentaremne">
    <w:name w:val="annotation subject"/>
    <w:basedOn w:val="Kommentartekst"/>
    <w:next w:val="Kommentartekst"/>
    <w:link w:val="KommentaremneTegn"/>
    <w:uiPriority w:val="99"/>
    <w:semiHidden/>
    <w:unhideWhenUsed/>
    <w:rsid w:val="005B35DC"/>
    <w:rPr>
      <w:b/>
      <w:bCs/>
    </w:rPr>
  </w:style>
  <w:style w:type="character" w:customStyle="1" w:styleId="KommentaremneTegn">
    <w:name w:val="Kommentaremne Tegn"/>
    <w:basedOn w:val="KommentartekstTegn"/>
    <w:link w:val="Kommentaremne"/>
    <w:uiPriority w:val="99"/>
    <w:semiHidden/>
    <w:rsid w:val="005B35DC"/>
    <w:rPr>
      <w:b/>
      <w:bCs/>
      <w:lang w:val="en-GB"/>
    </w:rPr>
  </w:style>
  <w:style w:type="character" w:customStyle="1" w:styleId="st">
    <w:name w:val="st"/>
    <w:basedOn w:val="Standardskrifttypeiafsnit"/>
    <w:rsid w:val="009248DD"/>
  </w:style>
  <w:style w:type="character" w:styleId="Fremhv">
    <w:name w:val="Emphasis"/>
    <w:basedOn w:val="Standardskrifttypeiafsnit"/>
    <w:uiPriority w:val="20"/>
    <w:qFormat/>
    <w:rsid w:val="009248DD"/>
    <w:rPr>
      <w:i/>
      <w:iCs/>
    </w:rPr>
  </w:style>
  <w:style w:type="paragraph" w:styleId="Fodnotetekst">
    <w:name w:val="footnote text"/>
    <w:basedOn w:val="Normal"/>
    <w:link w:val="FodnotetekstTegn"/>
    <w:autoRedefine/>
    <w:uiPriority w:val="99"/>
    <w:unhideWhenUsed/>
    <w:rsid w:val="001B29E4"/>
    <w:rPr>
      <w:sz w:val="18"/>
      <w:szCs w:val="18"/>
    </w:rPr>
  </w:style>
  <w:style w:type="character" w:customStyle="1" w:styleId="FodnotetekstTegn">
    <w:name w:val="Fodnotetekst Tegn"/>
    <w:basedOn w:val="Standardskrifttypeiafsnit"/>
    <w:link w:val="Fodnotetekst"/>
    <w:uiPriority w:val="99"/>
    <w:rsid w:val="001B29E4"/>
    <w:rPr>
      <w:sz w:val="18"/>
      <w:szCs w:val="18"/>
      <w:lang w:val="en-GB"/>
    </w:rPr>
  </w:style>
  <w:style w:type="character" w:styleId="Fodnotehenvisning">
    <w:name w:val="footnote reference"/>
    <w:basedOn w:val="Standardskrifttypeiafsnit"/>
    <w:uiPriority w:val="99"/>
    <w:unhideWhenUsed/>
    <w:rsid w:val="00953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D922B-F3C3-41CC-B1C7-DACF782F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5685</Words>
  <Characters>29798</Characters>
  <Application>Microsoft Office Word</Application>
  <DocSecurity>0</DocSecurity>
  <Lines>380</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Thinking-Matters</vt:lpstr>
      <vt:lpstr>Thinking-Matters</vt:lpstr>
    </vt:vector>
  </TitlesOfParts>
  <Company>Aarhus Universitet</Company>
  <LinksUpToDate>false</LinksUpToDate>
  <CharactersWithSpaces>35466</CharactersWithSpaces>
  <SharedDoc>false</SharedDoc>
  <HLinks>
    <vt:vector size="6" baseType="variant">
      <vt:variant>
        <vt:i4>7274579</vt:i4>
      </vt:variant>
      <vt:variant>
        <vt:i4>0</vt:i4>
      </vt:variant>
      <vt:variant>
        <vt:i4>0</vt:i4>
      </vt:variant>
      <vt:variant>
        <vt:i4>5</vt:i4>
      </vt:variant>
      <vt:variant>
        <vt:lpwstr>http://classic.skor.nl/article-4178-nl.html?lang=en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Thinking-Matters</dc:title>
  <cp:lastModifiedBy>Jørgen Huggler</cp:lastModifiedBy>
  <cp:revision>3</cp:revision>
  <cp:lastPrinted>2015-08-20T22:52:00Z</cp:lastPrinted>
  <dcterms:created xsi:type="dcterms:W3CDTF">2018-01-09T23:10:00Z</dcterms:created>
  <dcterms:modified xsi:type="dcterms:W3CDTF">2018-01-09T23:14:00Z</dcterms:modified>
</cp:coreProperties>
</file>