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pPr w:leftFromText="180" w:rightFromText="180" w:vertAnchor="page" w:horzAnchor="margin" w:tblpX="-1026" w:tblpY="2791"/>
        <w:tblW w:w="11624" w:type="dxa"/>
        <w:tblLook w:val="04A0" w:firstRow="1" w:lastRow="0" w:firstColumn="1" w:lastColumn="0" w:noHBand="0" w:noVBand="1"/>
      </w:tblPr>
      <w:tblGrid>
        <w:gridCol w:w="5495"/>
        <w:gridCol w:w="6129"/>
      </w:tblGrid>
      <w:tr w:rsidR="0034301C" w:rsidRPr="0034301C" w:rsidTr="003C12C2">
        <w:tc>
          <w:tcPr>
            <w:tcW w:w="5495" w:type="dxa"/>
            <w:shd w:val="clear" w:color="auto" w:fill="F2F2F2" w:themeFill="background1" w:themeFillShade="F2"/>
          </w:tcPr>
          <w:p w:rsidR="0034301C" w:rsidRPr="0034301C" w:rsidRDefault="003C12C2" w:rsidP="003C12C2">
            <w:pPr>
              <w:rPr>
                <w:b/>
                <w:sz w:val="24"/>
                <w:szCs w:val="24"/>
              </w:rPr>
            </w:pPr>
            <w:r w:rsidRPr="003C12C2">
              <w:rPr>
                <w:b/>
                <w:noProof/>
                <w:sz w:val="24"/>
                <w:szCs w:val="24"/>
              </w:rPr>
              <mc:AlternateContent>
                <mc:Choice Requires="wps">
                  <w:drawing>
                    <wp:anchor distT="0" distB="0" distL="114300" distR="114300" simplePos="0" relativeHeight="251661312" behindDoc="0" locked="0" layoutInCell="1" allowOverlap="1" wp14:anchorId="388BC41B" wp14:editId="64EF0D52">
                      <wp:simplePos x="0" y="0"/>
                      <wp:positionH relativeFrom="column">
                        <wp:posOffset>-84455</wp:posOffset>
                      </wp:positionH>
                      <wp:positionV relativeFrom="paragraph">
                        <wp:posOffset>-990600</wp:posOffset>
                      </wp:positionV>
                      <wp:extent cx="5480050" cy="939800"/>
                      <wp:effectExtent l="0" t="0" r="254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0" cy="939800"/>
                              </a:xfrm>
                              <a:prstGeom prst="rect">
                                <a:avLst/>
                              </a:prstGeom>
                              <a:solidFill>
                                <a:srgbClr val="FFFFFF"/>
                              </a:solidFill>
                              <a:ln w="9525">
                                <a:solidFill>
                                  <a:srgbClr val="000000"/>
                                </a:solidFill>
                                <a:miter lim="800000"/>
                                <a:headEnd/>
                                <a:tailEnd/>
                              </a:ln>
                            </wps:spPr>
                            <wps:txbx>
                              <w:txbxContent>
                                <w:p w:rsidR="003C12C2" w:rsidRDefault="003C12C2">
                                  <w:pPr>
                                    <w:rPr>
                                      <w:lang w:val="da-DK"/>
                                    </w:rPr>
                                  </w:pPr>
                                  <w:r w:rsidRPr="003C12C2">
                                    <w:rPr>
                                      <w:shd w:val="clear" w:color="auto" w:fill="92D050"/>
                                      <w:lang w:val="da-DK"/>
                                    </w:rPr>
                                    <w:t>Grøn</w:t>
                                  </w:r>
                                  <w:r>
                                    <w:rPr>
                                      <w:lang w:val="da-DK"/>
                                    </w:rPr>
                                    <w:t xml:space="preserve"> = Forfatterne tilslutter sig kommentaren fra fagfællebedømmere.</w:t>
                                  </w:r>
                                </w:p>
                                <w:p w:rsidR="003C12C2" w:rsidRDefault="003C12C2">
                                  <w:pPr>
                                    <w:rPr>
                                      <w:lang w:val="da-DK"/>
                                    </w:rPr>
                                  </w:pPr>
                                  <w:r w:rsidRPr="003C12C2">
                                    <w:rPr>
                                      <w:shd w:val="clear" w:color="auto" w:fill="FFC000"/>
                                      <w:lang w:val="da-DK"/>
                                    </w:rPr>
                                    <w:t>Gul</w:t>
                                  </w:r>
                                  <w:r>
                                    <w:rPr>
                                      <w:shd w:val="clear" w:color="auto" w:fill="FFC000"/>
                                      <w:lang w:val="da-DK"/>
                                    </w:rPr>
                                    <w:t>/orange</w:t>
                                  </w:r>
                                  <w:r>
                                    <w:rPr>
                                      <w:lang w:val="da-DK"/>
                                    </w:rPr>
                                    <w:t xml:space="preserve"> = </w:t>
                                  </w:r>
                                  <w:r>
                                    <w:rPr>
                                      <w:lang w:val="da-DK"/>
                                    </w:rPr>
                                    <w:t>Forfatterne tilslutter sig kommentaren fra fagfællebedømmere</w:t>
                                  </w:r>
                                  <w:r>
                                    <w:rPr>
                                      <w:lang w:val="da-DK"/>
                                    </w:rPr>
                                    <w:t xml:space="preserve"> med forbehold.</w:t>
                                  </w:r>
                                </w:p>
                                <w:p w:rsidR="003C12C2" w:rsidRPr="003C12C2" w:rsidRDefault="003C12C2">
                                  <w:pPr>
                                    <w:rPr>
                                      <w:lang w:val="da-DK"/>
                                    </w:rPr>
                                  </w:pPr>
                                  <w:r w:rsidRPr="003C12C2">
                                    <w:rPr>
                                      <w:shd w:val="clear" w:color="auto" w:fill="FF0000"/>
                                      <w:lang w:val="da-DK"/>
                                    </w:rPr>
                                    <w:t>Rød</w:t>
                                  </w:r>
                                  <w:r>
                                    <w:rPr>
                                      <w:lang w:val="da-DK"/>
                                    </w:rPr>
                                    <w:t xml:space="preserve"> = Forfatterne er overvejende uenige med fagfællebedømmeren i dennes kommentar.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5pt;margin-top:-78pt;width:431.5pt;height: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">
                      <v:textbox>
                        <w:txbxContent>
                          <w:p w:rsidR="003C12C2" w:rsidRDefault="003C12C2">
                            <w:pPr>
                              <w:rPr>
                                <w:lang w:val="da-DK"/>
                              </w:rPr>
                            </w:pPr>
                            <w:r w:rsidRPr="003C12C2">
                              <w:rPr>
                                <w:shd w:val="clear" w:color="auto" w:fill="92D050"/>
                                <w:lang w:val="da-DK"/>
                              </w:rPr>
                              <w:t>Grøn</w:t>
                            </w:r>
                            <w:r>
                              <w:rPr>
                                <w:lang w:val="da-DK"/>
                              </w:rPr>
                              <w:t xml:space="preserve"> = Forfatterne tilslutter sig kommentaren fra fagfællebedømmere.</w:t>
                            </w:r>
                          </w:p>
                          <w:p w:rsidR="003C12C2" w:rsidRDefault="003C12C2">
                            <w:pPr>
                              <w:rPr>
                                <w:lang w:val="da-DK"/>
                              </w:rPr>
                            </w:pPr>
                            <w:r w:rsidRPr="003C12C2">
                              <w:rPr>
                                <w:shd w:val="clear" w:color="auto" w:fill="FFC000"/>
                                <w:lang w:val="da-DK"/>
                              </w:rPr>
                              <w:t>Gul</w:t>
                            </w:r>
                            <w:r>
                              <w:rPr>
                                <w:shd w:val="clear" w:color="auto" w:fill="FFC000"/>
                                <w:lang w:val="da-DK"/>
                              </w:rPr>
                              <w:t>/orange</w:t>
                            </w:r>
                            <w:r>
                              <w:rPr>
                                <w:lang w:val="da-DK"/>
                              </w:rPr>
                              <w:t xml:space="preserve"> = </w:t>
                            </w:r>
                            <w:r>
                              <w:rPr>
                                <w:lang w:val="da-DK"/>
                              </w:rPr>
                              <w:t>Forfatterne tilslutter sig kommentaren fra fagfællebedømmere</w:t>
                            </w:r>
                            <w:r>
                              <w:rPr>
                                <w:lang w:val="da-DK"/>
                              </w:rPr>
                              <w:t xml:space="preserve"> med forbehold.</w:t>
                            </w:r>
                          </w:p>
                          <w:p w:rsidR="003C12C2" w:rsidRPr="003C12C2" w:rsidRDefault="003C12C2">
                            <w:pPr>
                              <w:rPr>
                                <w:lang w:val="da-DK"/>
                              </w:rPr>
                            </w:pPr>
                            <w:r w:rsidRPr="003C12C2">
                              <w:rPr>
                                <w:shd w:val="clear" w:color="auto" w:fill="FF0000"/>
                                <w:lang w:val="da-DK"/>
                              </w:rPr>
                              <w:t>Rød</w:t>
                            </w:r>
                            <w:r>
                              <w:rPr>
                                <w:lang w:val="da-DK"/>
                              </w:rPr>
                              <w:t xml:space="preserve"> = Forfatterne er overvejende uenige med fagfællebedømmeren i dennes kommentar.</w:t>
                            </w:r>
                          </w:p>
                        </w:txbxContent>
                      </v:textbox>
                    </v:shape>
                  </w:pict>
                </mc:Fallback>
              </mc:AlternateContent>
            </w:r>
            <w:r w:rsidRPr="0034301C">
              <w:rPr>
                <w:noProof/>
                <w:sz w:val="24"/>
                <w:szCs w:val="24"/>
              </w:rPr>
              <mc:AlternateContent>
                <mc:Choice Requires="wps">
                  <w:drawing>
                    <wp:anchor distT="0" distB="0" distL="114300" distR="114300" simplePos="0" relativeHeight="251659264" behindDoc="0" locked="0" layoutInCell="1" allowOverlap="1" wp14:anchorId="011E6C9B" wp14:editId="073933FA">
                      <wp:simplePos x="0" y="0"/>
                      <wp:positionH relativeFrom="column">
                        <wp:posOffset>-82550</wp:posOffset>
                      </wp:positionH>
                      <wp:positionV relativeFrom="paragraph">
                        <wp:posOffset>-1536065</wp:posOffset>
                      </wp:positionV>
                      <wp:extent cx="4743450" cy="463550"/>
                      <wp:effectExtent l="0" t="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3550"/>
                              </a:xfrm>
                              <a:prstGeom prst="rect">
                                <a:avLst/>
                              </a:prstGeom>
                              <a:solidFill>
                                <a:srgbClr val="FFFFFF"/>
                              </a:solidFill>
                              <a:ln w="9525">
                                <a:solidFill>
                                  <a:srgbClr val="000000"/>
                                </a:solidFill>
                                <a:miter lim="800000"/>
                                <a:headEnd/>
                                <a:tailEnd/>
                              </a:ln>
                            </wps:spPr>
                            <wps:txbx>
                              <w:txbxContent>
                                <w:p w:rsidR="0034301C" w:rsidRPr="0034301C" w:rsidRDefault="0034301C">
                                  <w:pPr>
                                    <w:rPr>
                                      <w:lang w:val="da-DK"/>
                                    </w:rPr>
                                  </w:pPr>
                                  <w:r w:rsidRPr="0034301C">
                                    <w:rPr>
                                      <w:lang w:val="da-DK"/>
                                    </w:rPr>
                                    <w:t>Tilbagemeldingsskema på fagfællebedømmeres kommenta</w:t>
                                  </w:r>
                                  <w:r>
                                    <w:rPr>
                                      <w:lang w:val="da-DK"/>
                                    </w:rPr>
                                    <w:t>rer til</w:t>
                                  </w:r>
                                  <w:r w:rsidRPr="0034301C">
                                    <w:rPr>
                                      <w:lang w:val="da-DK"/>
                                    </w:rPr>
                                    <w:t xml:space="preserve"> manuskript</w:t>
                                  </w:r>
                                  <w:r>
                                    <w:rPr>
                                      <w:lang w:val="da-DK"/>
                                    </w:rPr>
                                    <w:t>et ”Hvad lærer der studerende, at de skal lære?”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5pt;margin-top:-120.95pt;width:373.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D+JgIAAE0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">
                      <v:textbox>
                        <w:txbxContent>
                          <w:p w:rsidR="0034301C" w:rsidRPr="0034301C" w:rsidRDefault="0034301C">
                            <w:pPr>
                              <w:rPr>
                                <w:lang w:val="da-DK"/>
                              </w:rPr>
                            </w:pPr>
                            <w:r w:rsidRPr="0034301C">
                              <w:rPr>
                                <w:lang w:val="da-DK"/>
                              </w:rPr>
                              <w:t>Tilbagemeldingsskema på fagfællebedømmeres kommenta</w:t>
                            </w:r>
                            <w:r>
                              <w:rPr>
                                <w:lang w:val="da-DK"/>
                              </w:rPr>
                              <w:t>rer til</w:t>
                            </w:r>
                            <w:r w:rsidRPr="0034301C">
                              <w:rPr>
                                <w:lang w:val="da-DK"/>
                              </w:rPr>
                              <w:t xml:space="preserve"> manuskript</w:t>
                            </w:r>
                            <w:r>
                              <w:rPr>
                                <w:lang w:val="da-DK"/>
                              </w:rPr>
                              <w:t>et ”Hvad lærer der studerende, at de skal lære?”</w:t>
                            </w:r>
                          </w:p>
                        </w:txbxContent>
                      </v:textbox>
                    </v:shape>
                  </w:pict>
                </mc:Fallback>
              </mc:AlternateContent>
            </w:r>
            <w:proofErr w:type="spellStart"/>
            <w:r w:rsidR="0034301C">
              <w:rPr>
                <w:b/>
                <w:sz w:val="24"/>
                <w:szCs w:val="24"/>
              </w:rPr>
              <w:t>Kritikpunkt</w:t>
            </w:r>
            <w:proofErr w:type="spellEnd"/>
          </w:p>
        </w:tc>
        <w:tc>
          <w:tcPr>
            <w:tcW w:w="6129" w:type="dxa"/>
            <w:shd w:val="clear" w:color="auto" w:fill="F2F2F2" w:themeFill="background1" w:themeFillShade="F2"/>
          </w:tcPr>
          <w:p w:rsidR="0034301C" w:rsidRPr="0034301C" w:rsidRDefault="0034301C" w:rsidP="003C12C2">
            <w:pPr>
              <w:rPr>
                <w:b/>
                <w:sz w:val="24"/>
                <w:szCs w:val="24"/>
              </w:rPr>
            </w:pPr>
            <w:proofErr w:type="spellStart"/>
            <w:r w:rsidRPr="0034301C">
              <w:rPr>
                <w:b/>
                <w:sz w:val="24"/>
                <w:szCs w:val="24"/>
              </w:rPr>
              <w:t>Forfatternes</w:t>
            </w:r>
            <w:proofErr w:type="spellEnd"/>
            <w:r w:rsidRPr="0034301C">
              <w:rPr>
                <w:b/>
                <w:sz w:val="24"/>
                <w:szCs w:val="24"/>
              </w:rPr>
              <w:t xml:space="preserve"> </w:t>
            </w:r>
            <w:proofErr w:type="spellStart"/>
            <w:r w:rsidRPr="0034301C">
              <w:rPr>
                <w:b/>
                <w:sz w:val="24"/>
                <w:szCs w:val="24"/>
              </w:rPr>
              <w:t>bemærkninger</w:t>
            </w:r>
            <w:proofErr w:type="spellEnd"/>
          </w:p>
        </w:tc>
      </w:tr>
      <w:tr w:rsidR="0034301C" w:rsidRPr="003C12C2" w:rsidTr="003C12C2">
        <w:tc>
          <w:tcPr>
            <w:tcW w:w="5495" w:type="dxa"/>
            <w:shd w:val="clear" w:color="auto" w:fill="92D050"/>
          </w:tcPr>
          <w:p w:rsidR="0034301C" w:rsidRPr="0034301C" w:rsidRDefault="0034301C" w:rsidP="003C12C2">
            <w:pPr>
              <w:rPr>
                <w:sz w:val="24"/>
                <w:szCs w:val="24"/>
                <w:lang w:val="da-DK"/>
              </w:rPr>
            </w:pPr>
            <w:r w:rsidRPr="0034301C">
              <w:rPr>
                <w:sz w:val="24"/>
                <w:szCs w:val="24"/>
                <w:lang w:val="da-DK"/>
              </w:rPr>
              <w:t>Overvej indsættelse af figurer/diagr</w:t>
            </w:r>
            <w:r>
              <w:rPr>
                <w:sz w:val="24"/>
                <w:szCs w:val="24"/>
                <w:lang w:val="da-DK"/>
              </w:rPr>
              <w:t>am</w:t>
            </w:r>
            <w:r w:rsidR="00B16ACC">
              <w:rPr>
                <w:sz w:val="24"/>
                <w:szCs w:val="24"/>
                <w:lang w:val="da-DK"/>
              </w:rPr>
              <w:t>mer for at støtte op om teksten</w:t>
            </w:r>
          </w:p>
        </w:tc>
        <w:tc>
          <w:tcPr>
            <w:tcW w:w="6129" w:type="dxa"/>
            <w:shd w:val="clear" w:color="auto" w:fill="92D050"/>
          </w:tcPr>
          <w:p w:rsidR="0034301C" w:rsidRPr="0034301C" w:rsidRDefault="00B16ACC" w:rsidP="003C12C2">
            <w:pPr>
              <w:rPr>
                <w:sz w:val="24"/>
                <w:szCs w:val="24"/>
                <w:lang w:val="da-DK"/>
              </w:rPr>
            </w:pPr>
            <w:r>
              <w:rPr>
                <w:sz w:val="24"/>
                <w:szCs w:val="24"/>
                <w:lang w:val="da-DK"/>
              </w:rPr>
              <w:t>Kommentaren</w:t>
            </w:r>
            <w:r w:rsidR="0034301C">
              <w:rPr>
                <w:sz w:val="24"/>
                <w:szCs w:val="24"/>
                <w:lang w:val="da-DK"/>
              </w:rPr>
              <w:t xml:space="preserve"> virker meget fornuftig, og vi har taget den til os.</w:t>
            </w:r>
            <w:r w:rsidR="003D27EF">
              <w:rPr>
                <w:sz w:val="24"/>
                <w:szCs w:val="24"/>
                <w:lang w:val="da-DK"/>
              </w:rPr>
              <w:t xml:space="preserve"> Der er således indsat fire nye figurer i teksten: Én der støtter </w:t>
            </w:r>
            <w:r>
              <w:rPr>
                <w:sz w:val="24"/>
                <w:szCs w:val="24"/>
                <w:lang w:val="da-DK"/>
              </w:rPr>
              <w:t xml:space="preserve">op </w:t>
            </w:r>
            <w:r w:rsidR="003D27EF">
              <w:rPr>
                <w:sz w:val="24"/>
                <w:szCs w:val="24"/>
                <w:lang w:val="da-DK"/>
              </w:rPr>
              <w:t>om vores teoretiske begreber og tre de</w:t>
            </w:r>
            <w:r>
              <w:rPr>
                <w:sz w:val="24"/>
                <w:szCs w:val="24"/>
                <w:lang w:val="da-DK"/>
              </w:rPr>
              <w:t>r</w:t>
            </w:r>
            <w:r w:rsidR="003D27EF">
              <w:rPr>
                <w:sz w:val="24"/>
                <w:szCs w:val="24"/>
                <w:lang w:val="da-DK"/>
              </w:rPr>
              <w:t xml:space="preserve"> gengiver udvalgte resultater fr</w:t>
            </w:r>
            <w:r>
              <w:rPr>
                <w:sz w:val="24"/>
                <w:szCs w:val="24"/>
                <w:lang w:val="da-DK"/>
              </w:rPr>
              <w:t>a vores spørgeskemaundersøgelse</w:t>
            </w:r>
          </w:p>
        </w:tc>
      </w:tr>
      <w:tr w:rsidR="0034301C" w:rsidRPr="003C12C2" w:rsidTr="003C12C2">
        <w:tc>
          <w:tcPr>
            <w:tcW w:w="5495" w:type="dxa"/>
            <w:shd w:val="clear" w:color="auto" w:fill="92D050"/>
          </w:tcPr>
          <w:p w:rsidR="0034301C" w:rsidRPr="0034301C" w:rsidRDefault="0034301C" w:rsidP="003C12C2">
            <w:pPr>
              <w:rPr>
                <w:sz w:val="24"/>
                <w:szCs w:val="24"/>
                <w:lang w:val="da-DK"/>
              </w:rPr>
            </w:pPr>
            <w:r>
              <w:rPr>
                <w:sz w:val="24"/>
                <w:szCs w:val="24"/>
                <w:lang w:val="da-DK"/>
              </w:rPr>
              <w:t xml:space="preserve">Overvej om der er til to artikler ved at udskille afsnittet om </w:t>
            </w:r>
            <w:proofErr w:type="spellStart"/>
            <w:r>
              <w:rPr>
                <w:sz w:val="24"/>
                <w:szCs w:val="24"/>
                <w:lang w:val="da-DK"/>
              </w:rPr>
              <w:t>jigsaw</w:t>
            </w:r>
            <w:proofErr w:type="spellEnd"/>
            <w:r>
              <w:rPr>
                <w:sz w:val="24"/>
                <w:szCs w:val="24"/>
                <w:lang w:val="da-DK"/>
              </w:rPr>
              <w:t>-øvelsen og gemme det til et fagligt/praktisk artikelbidrag</w:t>
            </w:r>
          </w:p>
        </w:tc>
        <w:tc>
          <w:tcPr>
            <w:tcW w:w="6129" w:type="dxa"/>
            <w:shd w:val="clear" w:color="auto" w:fill="92D050"/>
          </w:tcPr>
          <w:p w:rsidR="0034301C" w:rsidRDefault="0034301C" w:rsidP="003C12C2">
            <w:pPr>
              <w:rPr>
                <w:sz w:val="24"/>
                <w:szCs w:val="24"/>
                <w:lang w:val="da-DK"/>
              </w:rPr>
            </w:pPr>
            <w:r>
              <w:rPr>
                <w:sz w:val="24"/>
                <w:szCs w:val="24"/>
                <w:lang w:val="da-DK"/>
              </w:rPr>
              <w:t xml:space="preserve">Denne kommentar </w:t>
            </w:r>
            <w:r w:rsidR="003D27EF">
              <w:rPr>
                <w:sz w:val="24"/>
                <w:szCs w:val="24"/>
                <w:lang w:val="da-DK"/>
              </w:rPr>
              <w:t>(</w:t>
            </w:r>
            <w:r>
              <w:rPr>
                <w:sz w:val="24"/>
                <w:szCs w:val="24"/>
                <w:lang w:val="da-DK"/>
              </w:rPr>
              <w:t>fra fagfællebedømmer 1</w:t>
            </w:r>
            <w:r w:rsidR="003D27EF">
              <w:rPr>
                <w:sz w:val="24"/>
                <w:szCs w:val="24"/>
                <w:lang w:val="da-DK"/>
              </w:rPr>
              <w:t>)</w:t>
            </w:r>
            <w:r>
              <w:rPr>
                <w:sz w:val="24"/>
                <w:szCs w:val="24"/>
                <w:lang w:val="da-DK"/>
              </w:rPr>
              <w:t xml:space="preserve"> betragter vi som den vigtigste. Man</w:t>
            </w:r>
            <w:r w:rsidR="00B16ACC">
              <w:rPr>
                <w:sz w:val="24"/>
                <w:szCs w:val="24"/>
                <w:lang w:val="da-DK"/>
              </w:rPr>
              <w:t>uskriptet er derfor omarbejdet m</w:t>
            </w:r>
            <w:r>
              <w:rPr>
                <w:sz w:val="24"/>
                <w:szCs w:val="24"/>
                <w:lang w:val="da-DK"/>
              </w:rPr>
              <w:t xml:space="preserve">ed henblik på at lade afsnittet om </w:t>
            </w:r>
            <w:proofErr w:type="spellStart"/>
            <w:r>
              <w:rPr>
                <w:sz w:val="24"/>
                <w:szCs w:val="24"/>
                <w:lang w:val="da-DK"/>
              </w:rPr>
              <w:t>jigsaw</w:t>
            </w:r>
            <w:proofErr w:type="spellEnd"/>
            <w:r>
              <w:rPr>
                <w:sz w:val="24"/>
                <w:szCs w:val="24"/>
                <w:lang w:val="da-DK"/>
              </w:rPr>
              <w:t>-øvelsen indgå i et</w:t>
            </w:r>
            <w:r w:rsidR="00A75BFC">
              <w:rPr>
                <w:sz w:val="24"/>
                <w:szCs w:val="24"/>
                <w:lang w:val="da-DK"/>
              </w:rPr>
              <w:t xml:space="preserve"> eventuelt</w:t>
            </w:r>
            <w:r>
              <w:rPr>
                <w:sz w:val="24"/>
                <w:szCs w:val="24"/>
                <w:lang w:val="da-DK"/>
              </w:rPr>
              <w:t xml:space="preserve"> fremtidigt artikelbidrag.</w:t>
            </w:r>
          </w:p>
          <w:p w:rsidR="003D27EF" w:rsidRPr="0034301C" w:rsidRDefault="003D27EF" w:rsidP="003C12C2">
            <w:pPr>
              <w:rPr>
                <w:sz w:val="24"/>
                <w:szCs w:val="24"/>
                <w:lang w:val="da-DK"/>
              </w:rPr>
            </w:pPr>
            <w:proofErr w:type="spellStart"/>
            <w:r>
              <w:rPr>
                <w:sz w:val="24"/>
                <w:szCs w:val="24"/>
                <w:lang w:val="da-DK"/>
              </w:rPr>
              <w:t>Jigsaw</w:t>
            </w:r>
            <w:proofErr w:type="spellEnd"/>
            <w:r>
              <w:rPr>
                <w:sz w:val="24"/>
                <w:szCs w:val="24"/>
                <w:lang w:val="da-DK"/>
              </w:rPr>
              <w:t>-øvelsen er således fjernet fra teksten for til gengæld at give plads til en nærmere applicering af teori</w:t>
            </w:r>
            <w:r w:rsidR="00B16ACC">
              <w:rPr>
                <w:sz w:val="24"/>
                <w:szCs w:val="24"/>
                <w:lang w:val="da-DK"/>
              </w:rPr>
              <w:t>en om kerne- og tærskelbegreber</w:t>
            </w:r>
          </w:p>
        </w:tc>
      </w:tr>
      <w:tr w:rsidR="0034301C" w:rsidRPr="003C12C2" w:rsidTr="003C12C2">
        <w:tc>
          <w:tcPr>
            <w:tcW w:w="5495" w:type="dxa"/>
            <w:shd w:val="clear" w:color="auto" w:fill="92D050"/>
          </w:tcPr>
          <w:p w:rsidR="0034301C" w:rsidRPr="0034301C" w:rsidRDefault="0034301C" w:rsidP="003C12C2">
            <w:pPr>
              <w:rPr>
                <w:sz w:val="24"/>
                <w:szCs w:val="24"/>
                <w:lang w:val="da-DK"/>
              </w:rPr>
            </w:pPr>
            <w:r>
              <w:rPr>
                <w:sz w:val="24"/>
                <w:szCs w:val="24"/>
                <w:lang w:val="da-DK"/>
              </w:rPr>
              <w:t>Artiklen er forendetung</w:t>
            </w:r>
          </w:p>
        </w:tc>
        <w:tc>
          <w:tcPr>
            <w:tcW w:w="6129" w:type="dxa"/>
            <w:shd w:val="clear" w:color="auto" w:fill="92D050"/>
          </w:tcPr>
          <w:p w:rsidR="0034301C" w:rsidRPr="0034301C" w:rsidRDefault="0034301C" w:rsidP="003C12C2">
            <w:pPr>
              <w:rPr>
                <w:sz w:val="24"/>
                <w:szCs w:val="24"/>
                <w:lang w:val="da-DK"/>
              </w:rPr>
            </w:pPr>
            <w:r>
              <w:rPr>
                <w:sz w:val="24"/>
                <w:szCs w:val="24"/>
                <w:lang w:val="da-DK"/>
              </w:rPr>
              <w:t xml:space="preserve">Helt enig. </w:t>
            </w:r>
            <w:bookmarkStart w:id="0" w:name="_GoBack"/>
            <w:bookmarkEnd w:id="0"/>
            <w:r>
              <w:rPr>
                <w:sz w:val="24"/>
                <w:szCs w:val="24"/>
                <w:lang w:val="da-DK"/>
              </w:rPr>
              <w:t>Vi har forsøgt at udbygge analyse- og diskussionsafs</w:t>
            </w:r>
            <w:r w:rsidR="00A75BFC">
              <w:rPr>
                <w:sz w:val="24"/>
                <w:szCs w:val="24"/>
                <w:lang w:val="da-DK"/>
              </w:rPr>
              <w:t>nittet i artiklen</w:t>
            </w:r>
            <w:r w:rsidR="00D25D9C">
              <w:rPr>
                <w:sz w:val="24"/>
                <w:szCs w:val="24"/>
                <w:lang w:val="da-DK"/>
              </w:rPr>
              <w:t>s</w:t>
            </w:r>
            <w:r w:rsidR="00A75BFC">
              <w:rPr>
                <w:sz w:val="24"/>
                <w:szCs w:val="24"/>
                <w:lang w:val="da-DK"/>
              </w:rPr>
              <w:t xml:space="preserve"> anden halvdel med henblik på at udjævne artiklens hovedelementer.</w:t>
            </w:r>
          </w:p>
        </w:tc>
      </w:tr>
      <w:tr w:rsidR="0034301C" w:rsidRPr="003C12C2" w:rsidTr="003C12C2">
        <w:tc>
          <w:tcPr>
            <w:tcW w:w="5495" w:type="dxa"/>
            <w:shd w:val="clear" w:color="auto" w:fill="FFC000"/>
          </w:tcPr>
          <w:p w:rsidR="0034301C" w:rsidRPr="0034301C" w:rsidRDefault="0034301C" w:rsidP="003C12C2">
            <w:pPr>
              <w:rPr>
                <w:sz w:val="24"/>
                <w:szCs w:val="24"/>
                <w:lang w:val="da-DK"/>
              </w:rPr>
            </w:pPr>
            <w:r w:rsidRPr="0034301C">
              <w:rPr>
                <w:sz w:val="24"/>
                <w:szCs w:val="24"/>
                <w:lang w:val="da-DK"/>
              </w:rPr>
              <w:t xml:space="preserve">Begrundelse for at </w:t>
            </w:r>
            <w:proofErr w:type="gramStart"/>
            <w:r w:rsidRPr="0034301C">
              <w:rPr>
                <w:sz w:val="24"/>
                <w:szCs w:val="24"/>
                <w:lang w:val="da-DK"/>
              </w:rPr>
              <w:t>bruge</w:t>
            </w:r>
            <w:proofErr w:type="gramEnd"/>
            <w:r w:rsidRPr="0034301C">
              <w:rPr>
                <w:sz w:val="24"/>
                <w:szCs w:val="24"/>
                <w:lang w:val="da-DK"/>
              </w:rPr>
              <w:t xml:space="preserve"> metaforikken om videns-, færdigheds- og kompetencemål i artiklens indledning.</w:t>
            </w:r>
          </w:p>
        </w:tc>
        <w:tc>
          <w:tcPr>
            <w:tcW w:w="6129" w:type="dxa"/>
            <w:shd w:val="clear" w:color="auto" w:fill="FFC000"/>
          </w:tcPr>
          <w:p w:rsidR="0034301C" w:rsidRPr="0034301C" w:rsidRDefault="0034301C" w:rsidP="003C12C2">
            <w:pPr>
              <w:rPr>
                <w:sz w:val="24"/>
                <w:szCs w:val="24"/>
                <w:lang w:val="da-DK"/>
              </w:rPr>
            </w:pPr>
            <w:r>
              <w:rPr>
                <w:sz w:val="24"/>
                <w:szCs w:val="24"/>
                <w:lang w:val="da-DK"/>
              </w:rPr>
              <w:t>Umiddelbart finder vi, at brugen af denne analogi fint kan stå alene som et friskt analysemæssigt tiltag uden nærmere refleksioner. Vi har dog valgt at inkludere et par forklarende sætninger for at imødekomme fagfællebedømmeren</w:t>
            </w:r>
            <w:r w:rsidR="003D27EF">
              <w:rPr>
                <w:sz w:val="24"/>
                <w:szCs w:val="24"/>
                <w:lang w:val="da-DK"/>
              </w:rPr>
              <w:t>s kommentar</w:t>
            </w:r>
            <w:r>
              <w:rPr>
                <w:sz w:val="24"/>
                <w:szCs w:val="24"/>
                <w:lang w:val="da-DK"/>
              </w:rPr>
              <w:t>.</w:t>
            </w:r>
          </w:p>
        </w:tc>
      </w:tr>
      <w:tr w:rsidR="0034301C" w:rsidRPr="003C12C2" w:rsidTr="003C12C2">
        <w:tc>
          <w:tcPr>
            <w:tcW w:w="5495" w:type="dxa"/>
            <w:shd w:val="clear" w:color="auto" w:fill="92D050"/>
          </w:tcPr>
          <w:p w:rsidR="0034301C" w:rsidRPr="0034301C" w:rsidRDefault="0034301C" w:rsidP="003C12C2">
            <w:pPr>
              <w:rPr>
                <w:sz w:val="24"/>
                <w:szCs w:val="24"/>
                <w:lang w:val="da-DK"/>
              </w:rPr>
            </w:pPr>
            <w:r>
              <w:rPr>
                <w:sz w:val="24"/>
                <w:szCs w:val="24"/>
                <w:lang w:val="da-DK"/>
              </w:rPr>
              <w:t>K</w:t>
            </w:r>
            <w:r w:rsidRPr="0034301C">
              <w:rPr>
                <w:sz w:val="24"/>
                <w:szCs w:val="24"/>
                <w:lang w:val="da-DK"/>
              </w:rPr>
              <w:t xml:space="preserve">omme med eksempler på et par spørgsmål I har stillet i jeres </w:t>
            </w:r>
            <w:proofErr w:type="spellStart"/>
            <w:r w:rsidRPr="0034301C">
              <w:rPr>
                <w:sz w:val="24"/>
                <w:szCs w:val="24"/>
                <w:lang w:val="da-DK"/>
              </w:rPr>
              <w:t>survey</w:t>
            </w:r>
            <w:proofErr w:type="spellEnd"/>
            <w:r w:rsidRPr="0034301C">
              <w:rPr>
                <w:sz w:val="24"/>
                <w:szCs w:val="24"/>
                <w:lang w:val="da-DK"/>
              </w:rPr>
              <w:t>.</w:t>
            </w:r>
          </w:p>
        </w:tc>
        <w:tc>
          <w:tcPr>
            <w:tcW w:w="6129" w:type="dxa"/>
            <w:shd w:val="clear" w:color="auto" w:fill="92D050"/>
          </w:tcPr>
          <w:p w:rsidR="0034301C" w:rsidRPr="0034301C" w:rsidRDefault="0034301C" w:rsidP="003C12C2">
            <w:pPr>
              <w:rPr>
                <w:sz w:val="24"/>
                <w:szCs w:val="24"/>
                <w:lang w:val="da-DK"/>
              </w:rPr>
            </w:pPr>
            <w:r>
              <w:rPr>
                <w:sz w:val="24"/>
                <w:szCs w:val="24"/>
                <w:lang w:val="da-DK"/>
              </w:rPr>
              <w:t>God pointe, so</w:t>
            </w:r>
            <w:r w:rsidR="003D27EF">
              <w:rPr>
                <w:sz w:val="24"/>
                <w:szCs w:val="24"/>
                <w:lang w:val="da-DK"/>
              </w:rPr>
              <w:t>m er indarbejdet i manuskriptet i de medtagne figurer.</w:t>
            </w:r>
          </w:p>
        </w:tc>
      </w:tr>
      <w:tr w:rsidR="0034301C" w:rsidRPr="003C12C2" w:rsidTr="003C12C2">
        <w:tc>
          <w:tcPr>
            <w:tcW w:w="5495" w:type="dxa"/>
            <w:shd w:val="clear" w:color="auto" w:fill="FFC000"/>
          </w:tcPr>
          <w:p w:rsidR="0034301C" w:rsidRPr="0034301C" w:rsidRDefault="0034301C" w:rsidP="003C12C2">
            <w:pPr>
              <w:rPr>
                <w:sz w:val="24"/>
                <w:szCs w:val="24"/>
                <w:lang w:val="da-DK"/>
              </w:rPr>
            </w:pPr>
            <w:r>
              <w:rPr>
                <w:sz w:val="24"/>
                <w:szCs w:val="24"/>
                <w:lang w:val="da-DK"/>
              </w:rPr>
              <w:t>Tydeliggør analysestrategi</w:t>
            </w:r>
          </w:p>
        </w:tc>
        <w:tc>
          <w:tcPr>
            <w:tcW w:w="6129" w:type="dxa"/>
            <w:shd w:val="clear" w:color="auto" w:fill="FFC000"/>
          </w:tcPr>
          <w:p w:rsidR="0034301C" w:rsidRDefault="00FF761C" w:rsidP="003C12C2">
            <w:pPr>
              <w:rPr>
                <w:sz w:val="24"/>
                <w:szCs w:val="24"/>
                <w:lang w:val="da-DK"/>
              </w:rPr>
            </w:pPr>
            <w:r>
              <w:rPr>
                <w:sz w:val="24"/>
                <w:szCs w:val="24"/>
                <w:lang w:val="da-DK"/>
              </w:rPr>
              <w:t xml:space="preserve">Forfatterne betragter dette som et vigtigt og velkomment kritikpunkt, idet vi medgiver, at artiklen med fordel kunne indeholde flere overvejelser om hensigter og metoder bag artiklen. </w:t>
            </w:r>
          </w:p>
          <w:p w:rsidR="00FF761C" w:rsidRDefault="00FF761C" w:rsidP="003C12C2">
            <w:pPr>
              <w:rPr>
                <w:sz w:val="24"/>
                <w:szCs w:val="24"/>
                <w:lang w:val="da-DK"/>
              </w:rPr>
            </w:pPr>
            <w:r>
              <w:rPr>
                <w:sz w:val="24"/>
                <w:szCs w:val="24"/>
                <w:lang w:val="da-DK"/>
              </w:rPr>
              <w:t>Omvendt må vi også konstatere ved et gennemsyn af andre videnskabelige artikler, der har været publiceret i DUT, at langt fra alle indeholder egentlige analysestrategiske overvejelser. Derfor undrer det os lidt, at der bliver lagt så meget vægt på dette. Begrebet findes heller ikke</w:t>
            </w:r>
            <w:r w:rsidR="00183834">
              <w:rPr>
                <w:sz w:val="24"/>
                <w:szCs w:val="24"/>
                <w:lang w:val="da-DK"/>
              </w:rPr>
              <w:t xml:space="preserve"> umiddelbart</w:t>
            </w:r>
            <w:r>
              <w:rPr>
                <w:sz w:val="24"/>
                <w:szCs w:val="24"/>
                <w:lang w:val="da-DK"/>
              </w:rPr>
              <w:t xml:space="preserve"> i forfattervejledningen??</w:t>
            </w:r>
          </w:p>
          <w:p w:rsidR="00B11467" w:rsidRPr="0034301C" w:rsidRDefault="00B11467" w:rsidP="003C12C2">
            <w:pPr>
              <w:rPr>
                <w:sz w:val="24"/>
                <w:szCs w:val="24"/>
                <w:lang w:val="da-DK"/>
              </w:rPr>
            </w:pPr>
            <w:r>
              <w:rPr>
                <w:sz w:val="24"/>
                <w:szCs w:val="24"/>
                <w:lang w:val="da-DK"/>
              </w:rPr>
              <w:t>Efter vores vurdering er fremstillingen dækket passende ind med metodiske overvejelser, som den fremstår. Vi har</w:t>
            </w:r>
            <w:r w:rsidR="00183834">
              <w:rPr>
                <w:sz w:val="24"/>
                <w:szCs w:val="24"/>
                <w:lang w:val="da-DK"/>
              </w:rPr>
              <w:t xml:space="preserve"> i revisionsprocessen</w:t>
            </w:r>
            <w:r>
              <w:rPr>
                <w:sz w:val="24"/>
                <w:szCs w:val="24"/>
                <w:lang w:val="da-DK"/>
              </w:rPr>
              <w:t xml:space="preserve"> forsøgt at eksplicitere nogle af vores valg i teksten </w:t>
            </w:r>
            <w:proofErr w:type="spellStart"/>
            <w:r>
              <w:rPr>
                <w:sz w:val="24"/>
                <w:szCs w:val="24"/>
                <w:lang w:val="da-DK"/>
              </w:rPr>
              <w:t>mhp</w:t>
            </w:r>
            <w:proofErr w:type="spellEnd"/>
            <w:r>
              <w:rPr>
                <w:sz w:val="24"/>
                <w:szCs w:val="24"/>
                <w:lang w:val="da-DK"/>
              </w:rPr>
              <w:t>. at højne det analysestrategiske</w:t>
            </w:r>
            <w:r w:rsidR="00183834">
              <w:rPr>
                <w:sz w:val="24"/>
                <w:szCs w:val="24"/>
                <w:lang w:val="da-DK"/>
              </w:rPr>
              <w:t xml:space="preserve"> niveau</w:t>
            </w:r>
            <w:r>
              <w:rPr>
                <w:sz w:val="24"/>
                <w:szCs w:val="24"/>
                <w:lang w:val="da-DK"/>
              </w:rPr>
              <w:t xml:space="preserve">. </w:t>
            </w:r>
          </w:p>
        </w:tc>
      </w:tr>
      <w:tr w:rsidR="0034301C" w:rsidRPr="003C12C2" w:rsidTr="003C12C2">
        <w:tc>
          <w:tcPr>
            <w:tcW w:w="5495" w:type="dxa"/>
            <w:shd w:val="clear" w:color="auto" w:fill="92D050"/>
          </w:tcPr>
          <w:p w:rsidR="0034301C" w:rsidRPr="0034301C" w:rsidRDefault="0034301C" w:rsidP="003C12C2">
            <w:pPr>
              <w:rPr>
                <w:sz w:val="24"/>
                <w:szCs w:val="24"/>
                <w:lang w:val="da-DK"/>
              </w:rPr>
            </w:pPr>
            <w:r>
              <w:rPr>
                <w:sz w:val="24"/>
                <w:szCs w:val="24"/>
                <w:lang w:val="da-DK"/>
              </w:rPr>
              <w:t>Artiklen diskuterer empirien i relation til teori</w:t>
            </w:r>
          </w:p>
        </w:tc>
        <w:tc>
          <w:tcPr>
            <w:tcW w:w="6129" w:type="dxa"/>
            <w:shd w:val="clear" w:color="auto" w:fill="92D050"/>
          </w:tcPr>
          <w:p w:rsidR="0034301C" w:rsidRPr="0034301C" w:rsidRDefault="0034301C" w:rsidP="003C12C2">
            <w:pPr>
              <w:rPr>
                <w:sz w:val="24"/>
                <w:szCs w:val="24"/>
                <w:lang w:val="da-DK"/>
              </w:rPr>
            </w:pPr>
            <w:r>
              <w:rPr>
                <w:sz w:val="24"/>
                <w:szCs w:val="24"/>
                <w:lang w:val="da-DK"/>
              </w:rPr>
              <w:t>De teoretiske begreber ”kerne- og tærskelbegreber” er videreført i artiklen.</w:t>
            </w:r>
          </w:p>
        </w:tc>
      </w:tr>
      <w:tr w:rsidR="0034301C" w:rsidRPr="003C12C2" w:rsidTr="003C12C2">
        <w:tc>
          <w:tcPr>
            <w:tcW w:w="5495" w:type="dxa"/>
            <w:shd w:val="clear" w:color="auto" w:fill="FFC000"/>
          </w:tcPr>
          <w:p w:rsidR="0034301C" w:rsidRPr="0034301C" w:rsidRDefault="0034301C" w:rsidP="003C12C2">
            <w:pPr>
              <w:rPr>
                <w:sz w:val="24"/>
                <w:szCs w:val="24"/>
                <w:lang w:val="da-DK"/>
              </w:rPr>
            </w:pPr>
            <w:r>
              <w:rPr>
                <w:sz w:val="24"/>
                <w:szCs w:val="24"/>
                <w:lang w:val="da-DK"/>
              </w:rPr>
              <w:t>Inkludering af de studerendes subjektive mening knyttet til læringsmålene</w:t>
            </w:r>
          </w:p>
        </w:tc>
        <w:tc>
          <w:tcPr>
            <w:tcW w:w="6129" w:type="dxa"/>
            <w:shd w:val="clear" w:color="auto" w:fill="FFC000"/>
          </w:tcPr>
          <w:p w:rsidR="0034301C" w:rsidRPr="0034301C" w:rsidRDefault="0034301C" w:rsidP="003C12C2">
            <w:pPr>
              <w:rPr>
                <w:sz w:val="24"/>
                <w:szCs w:val="24"/>
                <w:lang w:val="da-DK"/>
              </w:rPr>
            </w:pPr>
            <w:r>
              <w:rPr>
                <w:sz w:val="24"/>
                <w:szCs w:val="24"/>
                <w:lang w:val="da-DK"/>
              </w:rPr>
              <w:t>Her er vi noget i tvivl om, hvad fagfællebedømmer sigter til.</w:t>
            </w:r>
            <w:r w:rsidR="00B11467">
              <w:rPr>
                <w:sz w:val="24"/>
                <w:szCs w:val="24"/>
                <w:lang w:val="da-DK"/>
              </w:rPr>
              <w:t xml:space="preserve"> Det er jo selvfølgelig relevant at tage fat på det forhold, at de studerende opfatter og forstår læringsmål forskelligt, men vi mener samtidig, at dette spørgsmål (det strengt </w:t>
            </w:r>
            <w:r w:rsidR="00B11467">
              <w:rPr>
                <w:sz w:val="24"/>
                <w:szCs w:val="24"/>
                <w:lang w:val="da-DK"/>
              </w:rPr>
              <w:lastRenderedPageBreak/>
              <w:t>subjektive) ligger uden for rammerne af, hvad vi kan behandle i artiklen. Vi har i analysen forsøgt at inkludere lidt om de studerende subjektive opfattelser af læringsmålene.</w:t>
            </w:r>
          </w:p>
        </w:tc>
      </w:tr>
      <w:tr w:rsidR="0034301C" w:rsidRPr="003C12C2" w:rsidTr="003C12C2">
        <w:tc>
          <w:tcPr>
            <w:tcW w:w="5495" w:type="dxa"/>
            <w:shd w:val="clear" w:color="auto" w:fill="FF0000"/>
          </w:tcPr>
          <w:p w:rsidR="0034301C" w:rsidRPr="0034301C" w:rsidRDefault="0034301C" w:rsidP="003C12C2">
            <w:pPr>
              <w:rPr>
                <w:sz w:val="24"/>
                <w:szCs w:val="24"/>
                <w:lang w:val="da-DK"/>
              </w:rPr>
            </w:pPr>
            <w:r w:rsidRPr="0034301C">
              <w:rPr>
                <w:sz w:val="24"/>
                <w:szCs w:val="24"/>
                <w:lang w:val="da-DK"/>
              </w:rPr>
              <w:lastRenderedPageBreak/>
              <w:t>”Abstraktet indledes med en sætning, hvor der står: ’Tydelige og præcist formulerede læringsmål er et afgørende grundlag for den studerendes eksamenspræstation.’ Postulatet underbygges ikke igennem artiklens øvrige dele – tvært imod anfægtes den sammenhæng i forfatternes empiriske analyser og i de studier, forfatterne i øvrigt refererer til. Sætningen bør underbygges eller tages ud.”</w:t>
            </w:r>
          </w:p>
        </w:tc>
        <w:tc>
          <w:tcPr>
            <w:tcW w:w="6129" w:type="dxa"/>
            <w:shd w:val="clear" w:color="auto" w:fill="FF0000"/>
          </w:tcPr>
          <w:p w:rsidR="0034301C" w:rsidRPr="0034301C" w:rsidRDefault="0034301C" w:rsidP="003C12C2">
            <w:pPr>
              <w:rPr>
                <w:sz w:val="24"/>
                <w:szCs w:val="24"/>
                <w:lang w:val="da-DK"/>
              </w:rPr>
            </w:pPr>
            <w:r>
              <w:rPr>
                <w:sz w:val="24"/>
                <w:szCs w:val="24"/>
                <w:lang w:val="da-DK"/>
              </w:rPr>
              <w:t>Forfatterne er ikke enige i denne kritik. Tvært</w:t>
            </w:r>
            <w:r w:rsidR="00FF761C">
              <w:rPr>
                <w:sz w:val="24"/>
                <w:szCs w:val="24"/>
                <w:lang w:val="da-DK"/>
              </w:rPr>
              <w:t xml:space="preserve">imod mener vi, at vi i artiklen </w:t>
            </w:r>
            <w:r>
              <w:rPr>
                <w:sz w:val="24"/>
                <w:szCs w:val="24"/>
                <w:lang w:val="da-DK"/>
              </w:rPr>
              <w:t>argumenterer for, at den måde læringsmålene er formuleret på, har stor betydning i eksamens</w:t>
            </w:r>
            <w:r w:rsidR="00B11467">
              <w:rPr>
                <w:sz w:val="24"/>
                <w:szCs w:val="24"/>
                <w:lang w:val="da-DK"/>
              </w:rPr>
              <w:t>situationen. Se side 4 hvor vi også i revisionsprocessen har indsat en ekstra sætning for at tydeliggøre forholdet endnu mere.</w:t>
            </w:r>
          </w:p>
        </w:tc>
      </w:tr>
      <w:tr w:rsidR="0034301C" w:rsidRPr="003C12C2" w:rsidTr="003C12C2">
        <w:tc>
          <w:tcPr>
            <w:tcW w:w="5495" w:type="dxa"/>
            <w:shd w:val="clear" w:color="auto" w:fill="FFC000"/>
          </w:tcPr>
          <w:p w:rsidR="0034301C" w:rsidRPr="003448C2" w:rsidRDefault="0034301C" w:rsidP="003C12C2">
            <w:pPr>
              <w:rPr>
                <w:sz w:val="24"/>
                <w:szCs w:val="24"/>
                <w:lang w:val="da-DK"/>
              </w:rPr>
            </w:pPr>
            <w:r w:rsidRPr="003448C2">
              <w:rPr>
                <w:sz w:val="24"/>
                <w:szCs w:val="24"/>
                <w:lang w:val="da-DK"/>
              </w:rPr>
              <w:t>Diskussionsafsnittet bør tydeliggøres for læseren</w:t>
            </w:r>
          </w:p>
        </w:tc>
        <w:tc>
          <w:tcPr>
            <w:tcW w:w="6129" w:type="dxa"/>
            <w:shd w:val="clear" w:color="auto" w:fill="FFC000"/>
          </w:tcPr>
          <w:p w:rsidR="0034301C" w:rsidRPr="003448C2" w:rsidRDefault="00851405" w:rsidP="003C12C2">
            <w:pPr>
              <w:rPr>
                <w:sz w:val="24"/>
                <w:szCs w:val="24"/>
                <w:lang w:val="da-DK"/>
              </w:rPr>
            </w:pPr>
            <w:r>
              <w:rPr>
                <w:sz w:val="24"/>
                <w:szCs w:val="24"/>
                <w:lang w:val="da-DK"/>
              </w:rPr>
              <w:t>Vi behandler analyse og diskussion under ét.</w:t>
            </w:r>
          </w:p>
        </w:tc>
      </w:tr>
      <w:tr w:rsidR="0034301C" w:rsidRPr="003C12C2" w:rsidTr="003C12C2">
        <w:tc>
          <w:tcPr>
            <w:tcW w:w="5495" w:type="dxa"/>
            <w:shd w:val="clear" w:color="auto" w:fill="FF0000"/>
          </w:tcPr>
          <w:p w:rsidR="0034301C" w:rsidRPr="0034301C" w:rsidRDefault="0034301C" w:rsidP="003C12C2">
            <w:pPr>
              <w:rPr>
                <w:sz w:val="24"/>
                <w:szCs w:val="24"/>
                <w:lang w:val="da-DK"/>
              </w:rPr>
            </w:pPr>
            <w:r>
              <w:rPr>
                <w:sz w:val="24"/>
                <w:szCs w:val="24"/>
                <w:lang w:val="da-DK"/>
              </w:rPr>
              <w:t>Kritikpunkter om at fodnote er efterladt blank.</w:t>
            </w:r>
          </w:p>
        </w:tc>
        <w:tc>
          <w:tcPr>
            <w:tcW w:w="6129" w:type="dxa"/>
            <w:shd w:val="clear" w:color="auto" w:fill="FF0000"/>
          </w:tcPr>
          <w:p w:rsidR="0034301C" w:rsidRPr="0034301C" w:rsidRDefault="0034301C" w:rsidP="003C12C2">
            <w:pPr>
              <w:rPr>
                <w:sz w:val="24"/>
                <w:szCs w:val="24"/>
                <w:lang w:val="da-DK"/>
              </w:rPr>
            </w:pPr>
            <w:r>
              <w:rPr>
                <w:sz w:val="24"/>
                <w:szCs w:val="24"/>
                <w:lang w:val="da-DK"/>
              </w:rPr>
              <w:t>Dette undrer os, da tidsskriftets redaktører selv har anmodet os eksplicit om at slette fodnoten (af anonymiseringshensyn) efter 1. indsendelse af manuskriptet.</w:t>
            </w:r>
          </w:p>
        </w:tc>
      </w:tr>
    </w:tbl>
    <w:p w:rsidR="00851405" w:rsidRDefault="00851405">
      <w:pPr>
        <w:rPr>
          <w:sz w:val="24"/>
          <w:szCs w:val="24"/>
          <w:lang w:val="da-DK"/>
        </w:rPr>
      </w:pPr>
    </w:p>
    <w:p w:rsidR="00851405" w:rsidRPr="0034301C" w:rsidRDefault="00851405">
      <w:pPr>
        <w:rPr>
          <w:sz w:val="24"/>
          <w:szCs w:val="24"/>
          <w:lang w:val="da-DK"/>
        </w:rPr>
      </w:pPr>
      <w:r>
        <w:rPr>
          <w:sz w:val="24"/>
          <w:szCs w:val="24"/>
          <w:lang w:val="da-DK"/>
        </w:rPr>
        <w:t>Desuden er en række mindre forslag til rettelser fra de to fagfællebedømmere, som vi hermed takker for en række gode og relevante kommentarer, indarbejdet i manuskriptet.</w:t>
      </w:r>
    </w:p>
    <w:sectPr w:rsidR="00851405" w:rsidRPr="0034301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BC3" w:rsidRDefault="00820BC3" w:rsidP="0034301C">
      <w:pPr>
        <w:spacing w:after="0" w:line="240" w:lineRule="auto"/>
      </w:pPr>
      <w:r>
        <w:separator/>
      </w:r>
    </w:p>
  </w:endnote>
  <w:endnote w:type="continuationSeparator" w:id="0">
    <w:p w:rsidR="00820BC3" w:rsidRDefault="00820BC3" w:rsidP="0034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BC3" w:rsidRDefault="00820BC3" w:rsidP="0034301C">
      <w:pPr>
        <w:spacing w:after="0" w:line="240" w:lineRule="auto"/>
      </w:pPr>
      <w:r>
        <w:separator/>
      </w:r>
    </w:p>
  </w:footnote>
  <w:footnote w:type="continuationSeparator" w:id="0">
    <w:p w:rsidR="00820BC3" w:rsidRDefault="00820BC3" w:rsidP="00343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1C" w:rsidRDefault="003C12C2">
    <w:pPr>
      <w:pStyle w:val="Sidehoved"/>
    </w:pPr>
    <w:r>
      <w:tab/>
    </w:r>
    <w:r>
      <w:tab/>
      <w:t>22</w:t>
    </w:r>
    <w:r w:rsidR="003D27EF">
      <w:t>-11</w:t>
    </w:r>
    <w:r w:rsidR="0034301C">
      <w:t>-2017</w:t>
    </w:r>
  </w:p>
  <w:p w:rsidR="0034301C" w:rsidRDefault="0034301C">
    <w:pPr>
      <w:pStyle w:val="Sidehoved"/>
    </w:pPr>
  </w:p>
  <w:p w:rsidR="003C12C2" w:rsidRDefault="003C12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01C"/>
    <w:rsid w:val="001164A4"/>
    <w:rsid w:val="00183834"/>
    <w:rsid w:val="0034301C"/>
    <w:rsid w:val="003448C2"/>
    <w:rsid w:val="00370B6E"/>
    <w:rsid w:val="003C12C2"/>
    <w:rsid w:val="003D27EF"/>
    <w:rsid w:val="00820BC3"/>
    <w:rsid w:val="00851405"/>
    <w:rsid w:val="009656DB"/>
    <w:rsid w:val="009F6602"/>
    <w:rsid w:val="00A75BFC"/>
    <w:rsid w:val="00B11467"/>
    <w:rsid w:val="00B11E84"/>
    <w:rsid w:val="00B16ACC"/>
    <w:rsid w:val="00C369B8"/>
    <w:rsid w:val="00D25D9C"/>
    <w:rsid w:val="00E61558"/>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4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4301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4301C"/>
    <w:rPr>
      <w:rFonts w:ascii="Tahoma" w:hAnsi="Tahoma" w:cs="Tahoma"/>
      <w:sz w:val="16"/>
      <w:szCs w:val="16"/>
    </w:rPr>
  </w:style>
  <w:style w:type="paragraph" w:styleId="Sidehoved">
    <w:name w:val="header"/>
    <w:basedOn w:val="Normal"/>
    <w:link w:val="SidehovedTegn"/>
    <w:uiPriority w:val="99"/>
    <w:unhideWhenUsed/>
    <w:rsid w:val="0034301C"/>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34301C"/>
  </w:style>
  <w:style w:type="paragraph" w:styleId="Sidefod">
    <w:name w:val="footer"/>
    <w:basedOn w:val="Normal"/>
    <w:link w:val="SidefodTegn"/>
    <w:uiPriority w:val="99"/>
    <w:unhideWhenUsed/>
    <w:rsid w:val="0034301C"/>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343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4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4301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4301C"/>
    <w:rPr>
      <w:rFonts w:ascii="Tahoma" w:hAnsi="Tahoma" w:cs="Tahoma"/>
      <w:sz w:val="16"/>
      <w:szCs w:val="16"/>
    </w:rPr>
  </w:style>
  <w:style w:type="paragraph" w:styleId="Sidehoved">
    <w:name w:val="header"/>
    <w:basedOn w:val="Normal"/>
    <w:link w:val="SidehovedTegn"/>
    <w:uiPriority w:val="99"/>
    <w:unhideWhenUsed/>
    <w:rsid w:val="0034301C"/>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34301C"/>
  </w:style>
  <w:style w:type="paragraph" w:styleId="Sidefod">
    <w:name w:val="footer"/>
    <w:basedOn w:val="Normal"/>
    <w:link w:val="SidefodTegn"/>
    <w:uiPriority w:val="99"/>
    <w:unhideWhenUsed/>
    <w:rsid w:val="0034301C"/>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343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2</Pages>
  <Words>601</Words>
  <Characters>3429</Characters>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2017-11-14T09:33:00Z</cp:lastPrinted>
  <dcterms:created xsi:type="dcterms:W3CDTF">2017-10-28T11:29:00Z</dcterms:created>
  <dcterms:modified xsi:type="dcterms:W3CDTF">2017-11-22T07:53:00Z</dcterms:modified>
</cp:coreProperties>
</file>