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2E" w:rsidRDefault="00B1302E">
      <w:proofErr w:type="spellStart"/>
      <w:r>
        <w:t>Reviewer</w:t>
      </w:r>
      <w:proofErr w:type="spellEnd"/>
      <w:r>
        <w:t xml:space="preserve"> 1</w:t>
      </w:r>
    </w:p>
    <w:p w:rsidR="00BD6A5E" w:rsidRDefault="00B1302E">
      <w:r w:rsidRPr="00B1302E">
        <w:t>Tabel 2</w:t>
      </w:r>
      <w:r>
        <w:t xml:space="preserve"> </w:t>
      </w:r>
      <w:r w:rsidRPr="00B1302E">
        <w:t>er umiddelbart ikke klart gennemskuelig. Kan måske stilles op på en sådan måde, at den bliver lettere tilgængelige/ forståelige (tabel 1 er let forståelig)</w:t>
      </w:r>
      <w:r>
        <w:t>.</w:t>
      </w:r>
    </w:p>
    <w:p w:rsidR="00B1302E" w:rsidRDefault="00B1302E" w:rsidP="00B1302E">
      <w:r>
        <w:t>God velskreven artikel, men jeg mener der bør arbejdes mere med specielt tabel 2, som umiddelbart ikke er let tilgængelig for læsere med en ikke så stor forståelse for statistik/ læsere der ikke er vant til at anvende statistik.</w:t>
      </w:r>
    </w:p>
    <w:p w:rsidR="003E313A" w:rsidRPr="00987DB3" w:rsidRDefault="003E313A" w:rsidP="00B1302E">
      <w:pPr>
        <w:rPr>
          <w:color w:val="FF0000"/>
        </w:rPr>
      </w:pPr>
      <w:r>
        <w:rPr>
          <w:color w:val="FF0000"/>
        </w:rPr>
        <w:t xml:space="preserve">LON: </w:t>
      </w:r>
      <w:r w:rsidR="00B34429">
        <w:rPr>
          <w:color w:val="FF0000"/>
        </w:rPr>
        <w:t>Tak</w:t>
      </w:r>
      <w:r w:rsidR="000754AC">
        <w:rPr>
          <w:color w:val="FF0000"/>
        </w:rPr>
        <w:t xml:space="preserve"> for de opmuntrende ord</w:t>
      </w:r>
      <w:r w:rsidR="00B34429">
        <w:rPr>
          <w:color w:val="FF0000"/>
        </w:rPr>
        <w:t xml:space="preserve">. </w:t>
      </w:r>
      <w:r w:rsidR="008C408E">
        <w:rPr>
          <w:color w:val="FF0000"/>
        </w:rPr>
        <w:t>Vi</w:t>
      </w:r>
      <w:r w:rsidRPr="004C6524">
        <w:rPr>
          <w:color w:val="FF0000"/>
        </w:rPr>
        <w:t xml:space="preserve"> tror desværr</w:t>
      </w:r>
      <w:r>
        <w:rPr>
          <w:color w:val="FF0000"/>
        </w:rPr>
        <w:t>e ikke</w:t>
      </w:r>
      <w:r w:rsidR="00DA5DE6">
        <w:rPr>
          <w:color w:val="FF0000"/>
        </w:rPr>
        <w:t>,</w:t>
      </w:r>
      <w:r w:rsidR="00987DB3">
        <w:rPr>
          <w:color w:val="FF0000"/>
        </w:rPr>
        <w:t xml:space="preserve"> det er </w:t>
      </w:r>
      <w:r w:rsidR="00DA5DE6">
        <w:rPr>
          <w:color w:val="FF0000"/>
        </w:rPr>
        <w:t xml:space="preserve">hverken </w:t>
      </w:r>
      <w:r w:rsidR="00987DB3">
        <w:rPr>
          <w:color w:val="FF0000"/>
        </w:rPr>
        <w:t>muligt eller tilrådeligt</w:t>
      </w:r>
      <w:r>
        <w:rPr>
          <w:color w:val="FF0000"/>
        </w:rPr>
        <w:t>. Det er simpelthen standarden/</w:t>
      </w:r>
      <w:r w:rsidRPr="004C6524">
        <w:rPr>
          <w:color w:val="FF0000"/>
        </w:rPr>
        <w:t>normen, når man rapporterer regressionsmodeller</w:t>
      </w:r>
      <w:r w:rsidR="005820BA">
        <w:rPr>
          <w:color w:val="FF0000"/>
        </w:rPr>
        <w:t>, som vi har fulgt</w:t>
      </w:r>
      <w:r w:rsidRPr="004C6524">
        <w:rPr>
          <w:color w:val="FF0000"/>
        </w:rPr>
        <w:t xml:space="preserve">. </w:t>
      </w:r>
      <w:r w:rsidR="004B54E5">
        <w:rPr>
          <w:color w:val="FF0000"/>
        </w:rPr>
        <w:t xml:space="preserve">Det vi har gjort, som et forsøg på at imødekomme læsevenligheden, er at lægge to søjler (OR og </w:t>
      </w:r>
      <w:proofErr w:type="gramStart"/>
      <w:r w:rsidR="004B54E5">
        <w:rPr>
          <w:color w:val="FF0000"/>
        </w:rPr>
        <w:t>95%</w:t>
      </w:r>
      <w:proofErr w:type="gramEnd"/>
      <w:r w:rsidR="004B54E5">
        <w:rPr>
          <w:color w:val="FF0000"/>
        </w:rPr>
        <w:t xml:space="preserve"> CI) sammen, så der er færre søjler at forholde sig til.</w:t>
      </w:r>
      <w:r w:rsidR="00BA75D4">
        <w:rPr>
          <w:color w:val="FF0000"/>
        </w:rPr>
        <w:t xml:space="preserve"> </w:t>
      </w:r>
      <w:r w:rsidR="00BA75D4" w:rsidRPr="004C6524">
        <w:rPr>
          <w:color w:val="FF0000"/>
        </w:rPr>
        <w:t>M</w:t>
      </w:r>
      <w:r w:rsidR="00BA75D4">
        <w:rPr>
          <w:color w:val="FF0000"/>
        </w:rPr>
        <w:t xml:space="preserve">en hvis I har et konkret </w:t>
      </w:r>
      <w:r w:rsidR="00BA75D4" w:rsidRPr="004C6524">
        <w:rPr>
          <w:color w:val="FF0000"/>
        </w:rPr>
        <w:t>alternativt</w:t>
      </w:r>
      <w:r w:rsidR="00BA75D4">
        <w:rPr>
          <w:color w:val="FF0000"/>
        </w:rPr>
        <w:t xml:space="preserve"> og bedre</w:t>
      </w:r>
      <w:r w:rsidR="00BA75D4" w:rsidRPr="004C6524">
        <w:rPr>
          <w:color w:val="FF0000"/>
        </w:rPr>
        <w:t xml:space="preserve"> </w:t>
      </w:r>
      <w:r w:rsidR="00BA75D4">
        <w:rPr>
          <w:color w:val="FF0000"/>
        </w:rPr>
        <w:t xml:space="preserve">forslag, lytter vi selvfølgelig rigtig </w:t>
      </w:r>
      <w:r w:rsidR="00BA75D4" w:rsidRPr="004C6524">
        <w:rPr>
          <w:color w:val="FF0000"/>
        </w:rPr>
        <w:t>gerne</w:t>
      </w:r>
      <w:r w:rsidR="00BA75D4">
        <w:rPr>
          <w:color w:val="FF0000"/>
        </w:rPr>
        <w:t xml:space="preserve"> til det</w:t>
      </w:r>
      <w:r w:rsidR="00BA75D4" w:rsidRPr="004C6524">
        <w:rPr>
          <w:color w:val="FF0000"/>
        </w:rPr>
        <w:t>.</w:t>
      </w:r>
    </w:p>
    <w:p w:rsidR="00B1302E" w:rsidRDefault="00B1302E" w:rsidP="00B1302E">
      <w:r>
        <w:t xml:space="preserve">Savner en figur af </w:t>
      </w:r>
      <w:proofErr w:type="spellStart"/>
      <w:r>
        <w:t>Tinto's</w:t>
      </w:r>
      <w:proofErr w:type="spellEnd"/>
      <w:r>
        <w:t xml:space="preserve"> dropout model, der bliver refereret en del til. Er det muligt at den kan indgå i artiklen.</w:t>
      </w:r>
    </w:p>
    <w:p w:rsidR="004C6524" w:rsidRPr="00B34429" w:rsidRDefault="00ED4F5C" w:rsidP="00ED4F5C">
      <w:pPr>
        <w:rPr>
          <w:color w:val="FF0000"/>
        </w:rPr>
      </w:pPr>
      <w:r w:rsidRPr="00AC5A1D">
        <w:rPr>
          <w:color w:val="FF0000"/>
        </w:rPr>
        <w:t xml:space="preserve">LON: </w:t>
      </w:r>
      <w:r w:rsidR="004B54E5">
        <w:rPr>
          <w:color w:val="FF0000"/>
        </w:rPr>
        <w:t>God pointe</w:t>
      </w:r>
      <w:r w:rsidR="00AC5A1D">
        <w:rPr>
          <w:color w:val="FF0000"/>
        </w:rPr>
        <w:t xml:space="preserve">, det </w:t>
      </w:r>
      <w:r w:rsidR="00987DB3">
        <w:rPr>
          <w:color w:val="FF0000"/>
        </w:rPr>
        <w:t>savnede vi faktisk også</w:t>
      </w:r>
      <w:r w:rsidR="00AC5A1D" w:rsidRPr="00AC5A1D">
        <w:rPr>
          <w:color w:val="FF0000"/>
        </w:rPr>
        <w:t>.</w:t>
      </w:r>
      <w:r w:rsidR="004B54E5">
        <w:rPr>
          <w:color w:val="FF0000"/>
        </w:rPr>
        <w:t xml:space="preserve"> Vi har tilføjet en modificeret udgave af </w:t>
      </w:r>
      <w:proofErr w:type="spellStart"/>
      <w:r w:rsidR="004B54E5">
        <w:rPr>
          <w:color w:val="FF0000"/>
        </w:rPr>
        <w:t>Tinto’s</w:t>
      </w:r>
      <w:proofErr w:type="spellEnd"/>
      <w:r w:rsidR="004B54E5">
        <w:rPr>
          <w:color w:val="FF0000"/>
        </w:rPr>
        <w:t xml:space="preserve"> model, hvor optagelse</w:t>
      </w:r>
      <w:r w:rsidR="005820BA">
        <w:rPr>
          <w:color w:val="FF0000"/>
        </w:rPr>
        <w:t>s test</w:t>
      </w:r>
      <w:r w:rsidR="00B86D16">
        <w:rPr>
          <w:color w:val="FF0000"/>
        </w:rPr>
        <w:t>s</w:t>
      </w:r>
      <w:r w:rsidR="004B54E5">
        <w:rPr>
          <w:color w:val="FF0000"/>
        </w:rPr>
        <w:t xml:space="preserve"> (</w:t>
      </w:r>
      <w:r w:rsidR="00DB4544">
        <w:rPr>
          <w:color w:val="FF0000"/>
        </w:rPr>
        <w:t>’</w:t>
      </w:r>
      <w:r w:rsidR="00B86D16">
        <w:rPr>
          <w:color w:val="FF0000"/>
        </w:rPr>
        <w:t xml:space="preserve">program </w:t>
      </w:r>
      <w:proofErr w:type="spellStart"/>
      <w:r w:rsidR="00B86D16">
        <w:rPr>
          <w:color w:val="FF0000"/>
        </w:rPr>
        <w:t>specific</w:t>
      </w:r>
      <w:proofErr w:type="spellEnd"/>
      <w:r w:rsidR="00B86D16">
        <w:rPr>
          <w:color w:val="FF0000"/>
        </w:rPr>
        <w:t xml:space="preserve"> </w:t>
      </w:r>
      <w:r w:rsidR="004B54E5">
        <w:rPr>
          <w:color w:val="FF0000"/>
        </w:rPr>
        <w:t>admission</w:t>
      </w:r>
      <w:r w:rsidR="00DB4544">
        <w:rPr>
          <w:color w:val="FF0000"/>
        </w:rPr>
        <w:t xml:space="preserve"> </w:t>
      </w:r>
      <w:proofErr w:type="spellStart"/>
      <w:r w:rsidR="00DB4544">
        <w:rPr>
          <w:color w:val="FF0000"/>
        </w:rPr>
        <w:t>testing</w:t>
      </w:r>
      <w:proofErr w:type="spellEnd"/>
      <w:r w:rsidR="00DB4544">
        <w:rPr>
          <w:color w:val="FF0000"/>
        </w:rPr>
        <w:t>’</w:t>
      </w:r>
      <w:r w:rsidR="004B54E5">
        <w:rPr>
          <w:color w:val="FF0000"/>
        </w:rPr>
        <w:t>) er tilføjet.</w:t>
      </w:r>
      <w:r w:rsidR="00DB4544">
        <w:rPr>
          <w:color w:val="FF0000"/>
        </w:rPr>
        <w:t xml:space="preserve"> Modificeret, fordi hvis vi skulle have reproduceret </w:t>
      </w:r>
      <w:proofErr w:type="spellStart"/>
      <w:r w:rsidR="00DB4544">
        <w:rPr>
          <w:color w:val="FF0000"/>
        </w:rPr>
        <w:t>Tinto’s</w:t>
      </w:r>
      <w:proofErr w:type="spellEnd"/>
      <w:r w:rsidR="00DB4544">
        <w:rPr>
          <w:color w:val="FF0000"/>
        </w:rPr>
        <w:t xml:space="preserve"> </w:t>
      </w:r>
      <w:r w:rsidR="00B86D16">
        <w:rPr>
          <w:color w:val="FF0000"/>
        </w:rPr>
        <w:t xml:space="preserve">helt </w:t>
      </w:r>
      <w:r w:rsidR="00DB4544">
        <w:rPr>
          <w:color w:val="FF0000"/>
        </w:rPr>
        <w:t xml:space="preserve">originale model ville </w:t>
      </w:r>
      <w:proofErr w:type="spellStart"/>
      <w:r w:rsidR="00DB4544">
        <w:rPr>
          <w:color w:val="FF0000"/>
        </w:rPr>
        <w:t>Sagepub</w:t>
      </w:r>
      <w:proofErr w:type="spellEnd"/>
      <w:r w:rsidR="00DB4544">
        <w:rPr>
          <w:color w:val="FF0000"/>
        </w:rPr>
        <w:t xml:space="preserve"> have os til at betale 34,04 EUR for hver 6. måned figuren er frit tilgængelig på internettet, som den jo er i DUT. Det </w:t>
      </w:r>
      <w:r w:rsidR="005820BA">
        <w:rPr>
          <w:color w:val="FF0000"/>
        </w:rPr>
        <w:t>anså vi ikke for</w:t>
      </w:r>
      <w:r w:rsidR="00DB4544">
        <w:rPr>
          <w:color w:val="FF0000"/>
        </w:rPr>
        <w:t xml:space="preserve"> holdbart.</w:t>
      </w:r>
    </w:p>
    <w:p w:rsidR="00B1302E" w:rsidRDefault="00B1302E" w:rsidP="00B1302E">
      <w:r>
        <w:t>Savner desuden henvisning til litteratur der omhandler kvinder og idræt (før underoverskriften Test-</w:t>
      </w:r>
      <w:proofErr w:type="spellStart"/>
      <w:r>
        <w:t>based</w:t>
      </w:r>
      <w:proofErr w:type="spellEnd"/>
      <w:r>
        <w:t xml:space="preserve"> admission i afsnittet </w:t>
      </w:r>
      <w:proofErr w:type="spellStart"/>
      <w:r>
        <w:t>discussion</w:t>
      </w:r>
      <w:proofErr w:type="spellEnd"/>
      <w:r>
        <w:t>).</w:t>
      </w:r>
    </w:p>
    <w:p w:rsidR="00ED4F5C" w:rsidRPr="00ED4F5C" w:rsidRDefault="00237E8F" w:rsidP="00B1302E">
      <w:pPr>
        <w:rPr>
          <w:color w:val="FF0000"/>
        </w:rPr>
      </w:pPr>
      <w:r>
        <w:rPr>
          <w:color w:val="FF0000"/>
        </w:rPr>
        <w:t>LON: Det kan vi</w:t>
      </w:r>
      <w:r w:rsidR="00ED4F5C" w:rsidRPr="00ED4F5C">
        <w:rPr>
          <w:color w:val="FF0000"/>
        </w:rPr>
        <w:t xml:space="preserve"> godt forstå. Det er hermed rettet.</w:t>
      </w:r>
    </w:p>
    <w:p w:rsidR="00B1302E" w:rsidRDefault="00B1302E" w:rsidP="00B1302E">
      <w:r>
        <w:t xml:space="preserve">Savner en diskussion af statistisk behandling af en så lille gruppe som 47 studerende der fik adgang </w:t>
      </w:r>
      <w:proofErr w:type="spellStart"/>
      <w:r>
        <w:t>pga</w:t>
      </w:r>
      <w:proofErr w:type="spellEnd"/>
      <w:r>
        <w:t xml:space="preserve"> </w:t>
      </w:r>
      <w:proofErr w:type="spellStart"/>
      <w:r>
        <w:t>karakterter</w:t>
      </w:r>
      <w:proofErr w:type="spellEnd"/>
      <w:r>
        <w:t xml:space="preserve">. Er gruppestørrelsen passende at lave statistik på, eller kan </w:t>
      </w:r>
      <w:proofErr w:type="spellStart"/>
      <w:r>
        <w:t>størrelsesordnene</w:t>
      </w:r>
      <w:proofErr w:type="spellEnd"/>
      <w:r>
        <w:t xml:space="preserve"> have indflydelse på de følgende målte parametre (</w:t>
      </w:r>
      <w:proofErr w:type="spellStart"/>
      <w:r>
        <w:t>drop-out</w:t>
      </w:r>
      <w:proofErr w:type="spellEnd"/>
      <w:r>
        <w:t>).</w:t>
      </w:r>
    </w:p>
    <w:p w:rsidR="00ED4F5C" w:rsidRPr="00FD31BF" w:rsidRDefault="00ED4F5C" w:rsidP="00B1302E">
      <w:pPr>
        <w:rPr>
          <w:color w:val="FF0000"/>
        </w:rPr>
      </w:pPr>
      <w:r w:rsidRPr="00FD31BF">
        <w:rPr>
          <w:color w:val="FF0000"/>
        </w:rPr>
        <w:t xml:space="preserve">LON: Det som er afgørende for, om man kan lave </w:t>
      </w:r>
      <w:proofErr w:type="spellStart"/>
      <w:r w:rsidRPr="00FD31BF">
        <w:rPr>
          <w:color w:val="FF0000"/>
        </w:rPr>
        <w:t>multivariate</w:t>
      </w:r>
      <w:proofErr w:type="spellEnd"/>
      <w:r w:rsidRPr="00FD31BF">
        <w:rPr>
          <w:color w:val="FF0000"/>
        </w:rPr>
        <w:t xml:space="preserve"> </w:t>
      </w:r>
      <w:r w:rsidR="00D67CC5" w:rsidRPr="00FD31BF">
        <w:rPr>
          <w:color w:val="FF0000"/>
        </w:rPr>
        <w:t xml:space="preserve">logistiske </w:t>
      </w:r>
      <w:r w:rsidRPr="00FD31BF">
        <w:rPr>
          <w:color w:val="FF0000"/>
        </w:rPr>
        <w:t>regressionsmodeller</w:t>
      </w:r>
      <w:r w:rsidR="00D67CC5" w:rsidRPr="00FD31BF">
        <w:rPr>
          <w:color w:val="FF0000"/>
        </w:rPr>
        <w:t xml:space="preserve"> er antallet af frafaldne</w:t>
      </w:r>
      <w:r w:rsidRPr="00FD31BF">
        <w:rPr>
          <w:color w:val="FF0000"/>
        </w:rPr>
        <w:t xml:space="preserve"> (dropouts) i den samlede population. Tommelfingerreglen er</w:t>
      </w:r>
      <w:r w:rsidR="00AB6B0F" w:rsidRPr="00FD31BF">
        <w:rPr>
          <w:color w:val="FF0000"/>
        </w:rPr>
        <w:t xml:space="preserve">, at man helst ikke skal inkludere </w:t>
      </w:r>
      <w:r w:rsidR="00247C0B" w:rsidRPr="00FD31BF">
        <w:rPr>
          <w:color w:val="FF0000"/>
        </w:rPr>
        <w:t xml:space="preserve">mere </w:t>
      </w:r>
      <w:r w:rsidR="00AB6B0F" w:rsidRPr="00FD31BF">
        <w:rPr>
          <w:color w:val="FF0000"/>
        </w:rPr>
        <w:t xml:space="preserve">end 1 variabel pr. 10-20 frafaldne i den </w:t>
      </w:r>
      <w:proofErr w:type="spellStart"/>
      <w:r w:rsidR="00AB6B0F" w:rsidRPr="00FD31BF">
        <w:rPr>
          <w:color w:val="FF0000"/>
        </w:rPr>
        <w:t>multivariate</w:t>
      </w:r>
      <w:proofErr w:type="spellEnd"/>
      <w:r w:rsidR="00AB6B0F" w:rsidRPr="00FD31BF">
        <w:rPr>
          <w:color w:val="FF0000"/>
        </w:rPr>
        <w:t xml:space="preserve"> model – så kan man risikere at skræve videre end bukserne kan holde.</w:t>
      </w:r>
      <w:r w:rsidR="00AC5A1D" w:rsidRPr="00FD31BF">
        <w:rPr>
          <w:color w:val="FF0000"/>
        </w:rPr>
        <w:t xml:space="preserve"> Vi har</w:t>
      </w:r>
      <w:r w:rsidR="00D67CC5" w:rsidRPr="00FD31BF">
        <w:rPr>
          <w:color w:val="FF0000"/>
        </w:rPr>
        <w:t xml:space="preserve"> 79 frafaldne i alt og 4 variable i den multivariable</w:t>
      </w:r>
      <w:r w:rsidR="00AC5A1D" w:rsidRPr="00FD31BF">
        <w:rPr>
          <w:color w:val="FF0000"/>
        </w:rPr>
        <w:t xml:space="preserve"> model, </w:t>
      </w:r>
      <w:r w:rsidR="00D67CC5" w:rsidRPr="00FD31BF">
        <w:rPr>
          <w:color w:val="FF0000"/>
        </w:rPr>
        <w:t>så det</w:t>
      </w:r>
      <w:r w:rsidR="000754AC" w:rsidRPr="00FD31BF">
        <w:rPr>
          <w:color w:val="FF0000"/>
        </w:rPr>
        <w:t xml:space="preserve"> skulle være</w:t>
      </w:r>
      <w:r w:rsidR="00D67CC5" w:rsidRPr="00FD31BF">
        <w:rPr>
          <w:color w:val="FF0000"/>
        </w:rPr>
        <w:t xml:space="preserve"> i orden</w:t>
      </w:r>
      <w:r w:rsidR="00C934F9">
        <w:rPr>
          <w:color w:val="FF0000"/>
        </w:rPr>
        <w:t xml:space="preserve">. Desuden har vi </w:t>
      </w:r>
      <w:r w:rsidR="00AC5A1D" w:rsidRPr="00FD31BF">
        <w:rPr>
          <w:color w:val="FF0000"/>
        </w:rPr>
        <w:t>haft statistiker Lars Korsholm (dengang SDU) t</w:t>
      </w:r>
      <w:r w:rsidR="00237E8F" w:rsidRPr="00FD31BF">
        <w:rPr>
          <w:color w:val="FF0000"/>
        </w:rPr>
        <w:t>il at tjekke den endelige model, og han har sagt god for den.</w:t>
      </w:r>
      <w:r w:rsidR="00AC5A1D" w:rsidRPr="00FD31BF">
        <w:rPr>
          <w:color w:val="FF0000"/>
        </w:rPr>
        <w:t xml:space="preserve"> </w:t>
      </w:r>
      <w:r w:rsidR="00AB6B0F" w:rsidRPr="00FD31BF">
        <w:rPr>
          <w:color w:val="FF0000"/>
        </w:rPr>
        <w:t xml:space="preserve"> Du har ret i at kvote 1 gruppen er forholdsvis lille i fo</w:t>
      </w:r>
      <w:r w:rsidR="00217F82" w:rsidRPr="00FD31BF">
        <w:rPr>
          <w:color w:val="FF0000"/>
        </w:rPr>
        <w:t xml:space="preserve">rhold til kvote 2 gruppen (47 vs. </w:t>
      </w:r>
      <w:r w:rsidR="00AB6B0F" w:rsidRPr="00FD31BF">
        <w:rPr>
          <w:color w:val="FF0000"/>
        </w:rPr>
        <w:t xml:space="preserve">402). </w:t>
      </w:r>
      <w:r w:rsidR="00AA2BB9" w:rsidRPr="00FD31BF">
        <w:rPr>
          <w:color w:val="FF0000"/>
        </w:rPr>
        <w:t>Men det er faktisk</w:t>
      </w:r>
      <w:r w:rsidR="00DA5DE6" w:rsidRPr="00FD31BF">
        <w:rPr>
          <w:color w:val="FF0000"/>
        </w:rPr>
        <w:t xml:space="preserve"> </w:t>
      </w:r>
      <w:r w:rsidR="007E2581" w:rsidRPr="00FD31BF">
        <w:rPr>
          <w:color w:val="FF0000"/>
        </w:rPr>
        <w:t>sådan, at forskellen på fordelingen af frafaldne i de to grupper er statistisk signifikant</w:t>
      </w:r>
      <w:r w:rsidR="00B34429" w:rsidRPr="00FD31BF">
        <w:rPr>
          <w:color w:val="FF0000"/>
        </w:rPr>
        <w:t>. D</w:t>
      </w:r>
      <w:r w:rsidR="007E2581" w:rsidRPr="00FD31BF">
        <w:rPr>
          <w:color w:val="FF0000"/>
        </w:rPr>
        <w:t>et betyder at vi kan anse frafaldsprocenterne i de to grupper for ikke at være en statistisk tilfældighed, selv om den ene gruppe er mindre. Prøv selv at regne på p-værdien for 2 x 2 tabellen her</w:t>
      </w:r>
      <w:r w:rsidR="00B34429" w:rsidRPr="00FD31BF">
        <w:rPr>
          <w:color w:val="FF0000"/>
        </w:rPr>
        <w:t xml:space="preserve"> (data er fra resultatafsnittet)</w:t>
      </w:r>
      <w:r w:rsidR="007E2581" w:rsidRPr="00FD31BF">
        <w:rPr>
          <w:color w:val="FF0000"/>
        </w:rPr>
        <w:t>:</w:t>
      </w:r>
    </w:p>
    <w:p w:rsidR="007E2581" w:rsidRDefault="007E2581" w:rsidP="00B1302E">
      <w:pPr>
        <w:rPr>
          <w:color w:val="FF0000"/>
        </w:rPr>
      </w:pPr>
    </w:p>
    <w:p w:rsidR="006D5F5C" w:rsidRDefault="006D5F5C" w:rsidP="00B1302E">
      <w:pPr>
        <w:rPr>
          <w:color w:val="FF0000"/>
        </w:rPr>
      </w:pPr>
    </w:p>
    <w:tbl>
      <w:tblPr>
        <w:tblStyle w:val="Tabel-Gitter"/>
        <w:tblW w:w="0" w:type="auto"/>
        <w:tblLook w:val="04A0" w:firstRow="1" w:lastRow="0" w:firstColumn="1" w:lastColumn="0" w:noHBand="0" w:noVBand="1"/>
      </w:tblPr>
      <w:tblGrid>
        <w:gridCol w:w="891"/>
        <w:gridCol w:w="1063"/>
        <w:gridCol w:w="1462"/>
        <w:gridCol w:w="551"/>
      </w:tblGrid>
      <w:tr w:rsidR="007E2581" w:rsidTr="000F0A85">
        <w:tc>
          <w:tcPr>
            <w:tcW w:w="0" w:type="auto"/>
          </w:tcPr>
          <w:p w:rsidR="007E2581" w:rsidRDefault="007E2581" w:rsidP="00B1302E">
            <w:pPr>
              <w:rPr>
                <w:color w:val="FF0000"/>
              </w:rPr>
            </w:pPr>
          </w:p>
        </w:tc>
        <w:tc>
          <w:tcPr>
            <w:tcW w:w="0" w:type="auto"/>
          </w:tcPr>
          <w:p w:rsidR="007E2581" w:rsidRDefault="007E2581" w:rsidP="00B1302E">
            <w:pPr>
              <w:rPr>
                <w:color w:val="FF0000"/>
              </w:rPr>
            </w:pPr>
            <w:r>
              <w:rPr>
                <w:color w:val="FF0000"/>
              </w:rPr>
              <w:t>Frafaldne</w:t>
            </w:r>
          </w:p>
        </w:tc>
        <w:tc>
          <w:tcPr>
            <w:tcW w:w="0" w:type="auto"/>
          </w:tcPr>
          <w:p w:rsidR="007E2581" w:rsidRDefault="007E2581" w:rsidP="00B1302E">
            <w:pPr>
              <w:rPr>
                <w:color w:val="FF0000"/>
              </w:rPr>
            </w:pPr>
            <w:r>
              <w:rPr>
                <w:color w:val="FF0000"/>
              </w:rPr>
              <w:t>Ikke-frafaldne</w:t>
            </w:r>
          </w:p>
        </w:tc>
        <w:tc>
          <w:tcPr>
            <w:tcW w:w="0" w:type="auto"/>
          </w:tcPr>
          <w:p w:rsidR="007E2581" w:rsidRDefault="006F2649" w:rsidP="00B1302E">
            <w:pPr>
              <w:rPr>
                <w:color w:val="FF0000"/>
              </w:rPr>
            </w:pPr>
            <w:r>
              <w:rPr>
                <w:color w:val="FF0000"/>
              </w:rPr>
              <w:t>I alt</w:t>
            </w:r>
          </w:p>
        </w:tc>
      </w:tr>
      <w:tr w:rsidR="007E2581" w:rsidTr="000F0A85">
        <w:tc>
          <w:tcPr>
            <w:tcW w:w="0" w:type="auto"/>
          </w:tcPr>
          <w:p w:rsidR="007E2581" w:rsidRDefault="007E2581" w:rsidP="00B1302E">
            <w:pPr>
              <w:rPr>
                <w:color w:val="FF0000"/>
              </w:rPr>
            </w:pPr>
            <w:r>
              <w:rPr>
                <w:color w:val="FF0000"/>
              </w:rPr>
              <w:t>Kvote 1</w:t>
            </w:r>
          </w:p>
        </w:tc>
        <w:tc>
          <w:tcPr>
            <w:tcW w:w="0" w:type="auto"/>
          </w:tcPr>
          <w:p w:rsidR="007E2581" w:rsidRDefault="007E2581" w:rsidP="007E2581">
            <w:pPr>
              <w:jc w:val="center"/>
              <w:rPr>
                <w:color w:val="FF0000"/>
              </w:rPr>
            </w:pPr>
            <w:r>
              <w:rPr>
                <w:color w:val="FF0000"/>
              </w:rPr>
              <w:t>14</w:t>
            </w:r>
          </w:p>
        </w:tc>
        <w:tc>
          <w:tcPr>
            <w:tcW w:w="0" w:type="auto"/>
          </w:tcPr>
          <w:p w:rsidR="007E2581" w:rsidRDefault="007E2581" w:rsidP="007E2581">
            <w:pPr>
              <w:jc w:val="center"/>
              <w:rPr>
                <w:color w:val="FF0000"/>
              </w:rPr>
            </w:pPr>
            <w:r>
              <w:rPr>
                <w:color w:val="FF0000"/>
              </w:rPr>
              <w:t>33</w:t>
            </w:r>
          </w:p>
        </w:tc>
        <w:tc>
          <w:tcPr>
            <w:tcW w:w="0" w:type="auto"/>
          </w:tcPr>
          <w:p w:rsidR="007E2581" w:rsidRDefault="006F2649" w:rsidP="007E2581">
            <w:pPr>
              <w:jc w:val="center"/>
              <w:rPr>
                <w:color w:val="FF0000"/>
              </w:rPr>
            </w:pPr>
            <w:r>
              <w:rPr>
                <w:color w:val="FF0000"/>
              </w:rPr>
              <w:t>47</w:t>
            </w:r>
          </w:p>
        </w:tc>
      </w:tr>
      <w:tr w:rsidR="007E2581" w:rsidTr="000F0A85">
        <w:tc>
          <w:tcPr>
            <w:tcW w:w="0" w:type="auto"/>
          </w:tcPr>
          <w:p w:rsidR="007E2581" w:rsidRDefault="007E2581" w:rsidP="00B1302E">
            <w:pPr>
              <w:rPr>
                <w:color w:val="FF0000"/>
              </w:rPr>
            </w:pPr>
            <w:r>
              <w:rPr>
                <w:color w:val="FF0000"/>
              </w:rPr>
              <w:t>Kvote 2</w:t>
            </w:r>
          </w:p>
        </w:tc>
        <w:tc>
          <w:tcPr>
            <w:tcW w:w="0" w:type="auto"/>
          </w:tcPr>
          <w:p w:rsidR="007E2581" w:rsidRDefault="007E2581" w:rsidP="007E2581">
            <w:pPr>
              <w:jc w:val="center"/>
              <w:rPr>
                <w:color w:val="FF0000"/>
              </w:rPr>
            </w:pPr>
            <w:r>
              <w:rPr>
                <w:color w:val="FF0000"/>
              </w:rPr>
              <w:t>65</w:t>
            </w:r>
          </w:p>
        </w:tc>
        <w:tc>
          <w:tcPr>
            <w:tcW w:w="0" w:type="auto"/>
          </w:tcPr>
          <w:p w:rsidR="007E2581" w:rsidRDefault="007E2581" w:rsidP="007E2581">
            <w:pPr>
              <w:jc w:val="center"/>
              <w:rPr>
                <w:color w:val="FF0000"/>
              </w:rPr>
            </w:pPr>
            <w:r>
              <w:rPr>
                <w:color w:val="FF0000"/>
              </w:rPr>
              <w:t>337</w:t>
            </w:r>
          </w:p>
        </w:tc>
        <w:tc>
          <w:tcPr>
            <w:tcW w:w="0" w:type="auto"/>
          </w:tcPr>
          <w:p w:rsidR="007E2581" w:rsidRDefault="006F2649" w:rsidP="007E2581">
            <w:pPr>
              <w:jc w:val="center"/>
              <w:rPr>
                <w:color w:val="FF0000"/>
              </w:rPr>
            </w:pPr>
            <w:r>
              <w:rPr>
                <w:color w:val="FF0000"/>
              </w:rPr>
              <w:t>402</w:t>
            </w:r>
          </w:p>
        </w:tc>
      </w:tr>
      <w:tr w:rsidR="006F2649" w:rsidTr="000F0A85">
        <w:tc>
          <w:tcPr>
            <w:tcW w:w="0" w:type="auto"/>
          </w:tcPr>
          <w:p w:rsidR="006F2649" w:rsidRDefault="006F2649" w:rsidP="00B1302E">
            <w:pPr>
              <w:rPr>
                <w:color w:val="FF0000"/>
              </w:rPr>
            </w:pPr>
            <w:r>
              <w:rPr>
                <w:color w:val="FF0000"/>
              </w:rPr>
              <w:t>I alt</w:t>
            </w:r>
          </w:p>
        </w:tc>
        <w:tc>
          <w:tcPr>
            <w:tcW w:w="0" w:type="auto"/>
          </w:tcPr>
          <w:p w:rsidR="006F2649" w:rsidRDefault="006F2649" w:rsidP="007E2581">
            <w:pPr>
              <w:jc w:val="center"/>
              <w:rPr>
                <w:color w:val="FF0000"/>
              </w:rPr>
            </w:pPr>
            <w:r>
              <w:rPr>
                <w:color w:val="FF0000"/>
              </w:rPr>
              <w:t>79</w:t>
            </w:r>
          </w:p>
        </w:tc>
        <w:tc>
          <w:tcPr>
            <w:tcW w:w="0" w:type="auto"/>
          </w:tcPr>
          <w:p w:rsidR="006F2649" w:rsidRDefault="006F2649" w:rsidP="007E2581">
            <w:pPr>
              <w:jc w:val="center"/>
              <w:rPr>
                <w:color w:val="FF0000"/>
              </w:rPr>
            </w:pPr>
            <w:r>
              <w:rPr>
                <w:color w:val="FF0000"/>
              </w:rPr>
              <w:t>370</w:t>
            </w:r>
          </w:p>
        </w:tc>
        <w:tc>
          <w:tcPr>
            <w:tcW w:w="0" w:type="auto"/>
          </w:tcPr>
          <w:p w:rsidR="006F2649" w:rsidRDefault="006F2649" w:rsidP="007E2581">
            <w:pPr>
              <w:jc w:val="center"/>
              <w:rPr>
                <w:color w:val="FF0000"/>
              </w:rPr>
            </w:pPr>
            <w:r>
              <w:rPr>
                <w:color w:val="FF0000"/>
              </w:rPr>
              <w:t>449</w:t>
            </w:r>
          </w:p>
        </w:tc>
      </w:tr>
    </w:tbl>
    <w:p w:rsidR="006F2649" w:rsidRDefault="006F2649" w:rsidP="00B1302E">
      <w:pPr>
        <w:rPr>
          <w:color w:val="FF0000"/>
        </w:rPr>
      </w:pPr>
    </w:p>
    <w:p w:rsidR="007E2581" w:rsidRDefault="006F2649" w:rsidP="00B1302E">
      <w:pPr>
        <w:rPr>
          <w:color w:val="FF0000"/>
        </w:rPr>
      </w:pPr>
      <w:r>
        <w:rPr>
          <w:color w:val="FF0000"/>
        </w:rPr>
        <w:t xml:space="preserve">Jeg får p=0,021 med </w:t>
      </w:r>
      <w:proofErr w:type="spellStart"/>
      <w:r w:rsidR="004B56BE">
        <w:rPr>
          <w:color w:val="FF0000"/>
        </w:rPr>
        <w:t>Fisher’s</w:t>
      </w:r>
      <w:proofErr w:type="spellEnd"/>
      <w:r w:rsidR="004B56BE">
        <w:rPr>
          <w:color w:val="FF0000"/>
        </w:rPr>
        <w:t xml:space="preserve"> </w:t>
      </w:r>
      <w:proofErr w:type="spellStart"/>
      <w:r w:rsidR="004B56BE">
        <w:rPr>
          <w:color w:val="FF0000"/>
        </w:rPr>
        <w:t>Exact</w:t>
      </w:r>
      <w:proofErr w:type="spellEnd"/>
      <w:r w:rsidR="004B56BE">
        <w:rPr>
          <w:color w:val="FF0000"/>
        </w:rPr>
        <w:t xml:space="preserve"> Test - f</w:t>
      </w:r>
      <w:r>
        <w:rPr>
          <w:color w:val="FF0000"/>
        </w:rPr>
        <w:t>år du ikke noget lignende?</w:t>
      </w:r>
      <w:r w:rsidR="00B34429">
        <w:rPr>
          <w:color w:val="FF0000"/>
        </w:rPr>
        <w:t xml:space="preserve"> Man kan også regne OR for at falde fra som kvote 1’ er ud</w:t>
      </w:r>
      <w:r w:rsidR="00CE6797">
        <w:rPr>
          <w:color w:val="FF0000"/>
        </w:rPr>
        <w:t xml:space="preserve"> via tabellen, den er: (14 </w:t>
      </w:r>
      <w:r w:rsidR="00237E8F">
        <w:rPr>
          <w:color w:val="FF0000"/>
        </w:rPr>
        <w:t xml:space="preserve">x 337)/(33 x 65)=2,20. De </w:t>
      </w:r>
      <w:r w:rsidR="00CE6797">
        <w:rPr>
          <w:color w:val="FF0000"/>
        </w:rPr>
        <w:t>tilsvarende</w:t>
      </w:r>
      <w:r w:rsidR="004B56BE">
        <w:rPr>
          <w:color w:val="FF0000"/>
        </w:rPr>
        <w:t xml:space="preserve"> tal</w:t>
      </w:r>
      <w:r w:rsidR="000167FE">
        <w:rPr>
          <w:color w:val="FF0000"/>
        </w:rPr>
        <w:t xml:space="preserve"> (OR og p)</w:t>
      </w:r>
      <w:r w:rsidR="004B56BE">
        <w:rPr>
          <w:color w:val="FF0000"/>
        </w:rPr>
        <w:t xml:space="preserve"> </w:t>
      </w:r>
      <w:r w:rsidR="00CE6797">
        <w:rPr>
          <w:color w:val="FF0000"/>
        </w:rPr>
        <w:t>genfinder</w:t>
      </w:r>
      <w:r w:rsidR="004B56BE">
        <w:rPr>
          <w:color w:val="FF0000"/>
        </w:rPr>
        <w:t xml:space="preserve"> du</w:t>
      </w:r>
      <w:r w:rsidR="00CE6797">
        <w:rPr>
          <w:color w:val="FF0000"/>
        </w:rPr>
        <w:t xml:space="preserve"> i tabel 2 (</w:t>
      </w:r>
      <w:r w:rsidR="004B56BE">
        <w:rPr>
          <w:color w:val="FF0000"/>
        </w:rPr>
        <w:t>’</w:t>
      </w:r>
      <w:r w:rsidR="00CE6797">
        <w:rPr>
          <w:color w:val="FF0000"/>
        </w:rPr>
        <w:t>Grade-</w:t>
      </w:r>
      <w:proofErr w:type="spellStart"/>
      <w:r w:rsidR="00CE6797">
        <w:rPr>
          <w:color w:val="FF0000"/>
        </w:rPr>
        <w:t>based</w:t>
      </w:r>
      <w:proofErr w:type="spellEnd"/>
      <w:r w:rsidR="00CE6797">
        <w:rPr>
          <w:color w:val="FF0000"/>
        </w:rPr>
        <w:t xml:space="preserve"> admission</w:t>
      </w:r>
      <w:r w:rsidR="004B56BE">
        <w:rPr>
          <w:color w:val="FF0000"/>
        </w:rPr>
        <w:t>’</w:t>
      </w:r>
      <w:r w:rsidR="00CE6797">
        <w:rPr>
          <w:color w:val="FF0000"/>
        </w:rPr>
        <w:t xml:space="preserve">, </w:t>
      </w:r>
      <w:proofErr w:type="spellStart"/>
      <w:r w:rsidR="00CE6797">
        <w:rPr>
          <w:color w:val="FF0000"/>
        </w:rPr>
        <w:t>univariate</w:t>
      </w:r>
      <w:proofErr w:type="spellEnd"/>
      <w:r w:rsidR="00CE6797">
        <w:rPr>
          <w:color w:val="FF0000"/>
        </w:rPr>
        <w:t xml:space="preserve"> analyses), bare udregnet med logistisk regression. Med andre ord: </w:t>
      </w:r>
      <w:r w:rsidR="004B56BE">
        <w:rPr>
          <w:color w:val="FF0000"/>
        </w:rPr>
        <w:t>Vi</w:t>
      </w:r>
      <w:r w:rsidR="00CE6797">
        <w:rPr>
          <w:color w:val="FF0000"/>
        </w:rPr>
        <w:t xml:space="preserve"> ville simpelthen ikke kunne finde signifikante OR, hvis vores sample af kvote 1’ere havde været for lille.</w:t>
      </w:r>
    </w:p>
    <w:p w:rsidR="00B34429" w:rsidRPr="00FD31BF" w:rsidRDefault="00DA5DE6" w:rsidP="00B1302E">
      <w:pPr>
        <w:rPr>
          <w:color w:val="FF0000"/>
        </w:rPr>
      </w:pPr>
      <w:r w:rsidRPr="00FD31BF">
        <w:rPr>
          <w:color w:val="FF0000"/>
        </w:rPr>
        <w:t>Hvis vi</w:t>
      </w:r>
      <w:r w:rsidR="006F2649" w:rsidRPr="00FD31BF">
        <w:rPr>
          <w:color w:val="FF0000"/>
        </w:rPr>
        <w:t xml:space="preserve"> derim</w:t>
      </w:r>
      <w:r w:rsidR="00247C0B" w:rsidRPr="00FD31BF">
        <w:rPr>
          <w:color w:val="FF0000"/>
        </w:rPr>
        <w:t xml:space="preserve">od </w:t>
      </w:r>
      <w:r w:rsidR="00247C0B" w:rsidRPr="00C01C8A">
        <w:rPr>
          <w:i/>
          <w:color w:val="FF0000"/>
        </w:rPr>
        <w:t>ikke</w:t>
      </w:r>
      <w:r w:rsidR="00247C0B" w:rsidRPr="00FD31BF">
        <w:rPr>
          <w:color w:val="FF0000"/>
        </w:rPr>
        <w:t xml:space="preserve"> havde fundet en effekt</w:t>
      </w:r>
      <w:r w:rsidRPr="00FD31BF">
        <w:rPr>
          <w:color w:val="FF0000"/>
        </w:rPr>
        <w:t xml:space="preserve"> af optagelsesprøver</w:t>
      </w:r>
      <w:r w:rsidR="00B34429" w:rsidRPr="00FD31BF">
        <w:rPr>
          <w:color w:val="FF0000"/>
        </w:rPr>
        <w:t xml:space="preserve"> (som vi</w:t>
      </w:r>
      <w:r w:rsidR="00247C0B" w:rsidRPr="00FD31BF">
        <w:rPr>
          <w:color w:val="FF0000"/>
        </w:rPr>
        <w:t xml:space="preserve"> jo har)</w:t>
      </w:r>
      <w:r w:rsidR="006F2649" w:rsidRPr="00FD31BF">
        <w:rPr>
          <w:color w:val="FF0000"/>
        </w:rPr>
        <w:t xml:space="preserve"> kunne du med rette spørge</w:t>
      </w:r>
      <w:r w:rsidR="00247C0B" w:rsidRPr="00FD31BF">
        <w:rPr>
          <w:color w:val="FF0000"/>
        </w:rPr>
        <w:t>,</w:t>
      </w:r>
      <w:r w:rsidR="00B34429" w:rsidRPr="00FD31BF">
        <w:rPr>
          <w:color w:val="FF0000"/>
        </w:rPr>
        <w:t xml:space="preserve"> om vi</w:t>
      </w:r>
      <w:r w:rsidR="006F2649" w:rsidRPr="00FD31BF">
        <w:rPr>
          <w:color w:val="FF0000"/>
        </w:rPr>
        <w:t xml:space="preserve"> havde lavet</w:t>
      </w:r>
      <w:r w:rsidR="00B34429" w:rsidRPr="00FD31BF">
        <w:rPr>
          <w:color w:val="FF0000"/>
        </w:rPr>
        <w:t xml:space="preserve"> en type 2 fejl og betvivlet vores</w:t>
      </w:r>
      <w:r w:rsidR="006F2649" w:rsidRPr="00FD31BF">
        <w:rPr>
          <w:color w:val="FF0000"/>
        </w:rPr>
        <w:t xml:space="preserve"> power</w:t>
      </w:r>
      <w:r w:rsidR="00247C0B" w:rsidRPr="00FD31BF">
        <w:rPr>
          <w:color w:val="FF0000"/>
        </w:rPr>
        <w:t>. Men det er jo lige tværtom her.</w:t>
      </w:r>
      <w:r w:rsidRPr="00FD31BF">
        <w:rPr>
          <w:color w:val="FF0000"/>
        </w:rPr>
        <w:t xml:space="preserve"> Vi</w:t>
      </w:r>
      <w:r w:rsidR="00247C0B" w:rsidRPr="00FD31BF">
        <w:rPr>
          <w:color w:val="FF0000"/>
        </w:rPr>
        <w:t xml:space="preserve"> fandt en forskel, selv med så lille et sample af kvote 1’ere</w:t>
      </w:r>
      <w:r w:rsidRPr="00FD31BF">
        <w:rPr>
          <w:color w:val="FF0000"/>
        </w:rPr>
        <w:t>.</w:t>
      </w:r>
      <w:r w:rsidR="00B34429" w:rsidRPr="00FD31BF">
        <w:rPr>
          <w:color w:val="FF0000"/>
        </w:rPr>
        <w:t xml:space="preserve"> Det er faktisk meget stærkt.</w:t>
      </w:r>
      <w:r w:rsidR="00247C0B" w:rsidRPr="00FD31BF">
        <w:rPr>
          <w:color w:val="FF0000"/>
        </w:rPr>
        <w:t xml:space="preserve"> Og effekten er ovenikøbet</w:t>
      </w:r>
      <w:r w:rsidRPr="00FD31BF">
        <w:rPr>
          <w:color w:val="FF0000"/>
        </w:rPr>
        <w:t xml:space="preserve"> ganske stabil, selv når vi</w:t>
      </w:r>
      <w:r w:rsidR="00B34429" w:rsidRPr="00FD31BF">
        <w:rPr>
          <w:color w:val="FF0000"/>
        </w:rPr>
        <w:t xml:space="preserve"> kontrollerer for andre in</w:t>
      </w:r>
      <w:r w:rsidR="006E4D32">
        <w:rPr>
          <w:color w:val="FF0000"/>
        </w:rPr>
        <w:t>d</w:t>
      </w:r>
      <w:r w:rsidR="00B34429" w:rsidRPr="00FD31BF">
        <w:rPr>
          <w:color w:val="FF0000"/>
        </w:rPr>
        <w:t xml:space="preserve">flydelsesrige </w:t>
      </w:r>
      <w:r w:rsidR="00247C0B" w:rsidRPr="00FD31BF">
        <w:rPr>
          <w:color w:val="FF0000"/>
        </w:rPr>
        <w:t xml:space="preserve">prædiktorvariable i den </w:t>
      </w:r>
      <w:proofErr w:type="spellStart"/>
      <w:r w:rsidR="00247C0B" w:rsidRPr="00FD31BF">
        <w:rPr>
          <w:color w:val="FF0000"/>
        </w:rPr>
        <w:t>multivariate</w:t>
      </w:r>
      <w:proofErr w:type="spellEnd"/>
      <w:r w:rsidR="00247C0B" w:rsidRPr="00FD31BF">
        <w:rPr>
          <w:color w:val="FF0000"/>
        </w:rPr>
        <w:t xml:space="preserve"> model (tjek selv tabel 2 for de negligerbare ændringer i OR og p-værdi for ’grade-</w:t>
      </w:r>
      <w:proofErr w:type="spellStart"/>
      <w:r w:rsidR="00247C0B" w:rsidRPr="00FD31BF">
        <w:rPr>
          <w:color w:val="FF0000"/>
        </w:rPr>
        <w:t>based</w:t>
      </w:r>
      <w:proofErr w:type="spellEnd"/>
      <w:r w:rsidR="00247C0B" w:rsidRPr="00FD31BF">
        <w:rPr>
          <w:color w:val="FF0000"/>
        </w:rPr>
        <w:t xml:space="preserve"> </w:t>
      </w:r>
      <w:proofErr w:type="spellStart"/>
      <w:r w:rsidR="00247C0B" w:rsidRPr="00FD31BF">
        <w:rPr>
          <w:color w:val="FF0000"/>
        </w:rPr>
        <w:t>admisssion</w:t>
      </w:r>
      <w:proofErr w:type="spellEnd"/>
      <w:r w:rsidR="00247C0B" w:rsidRPr="00FD31BF">
        <w:rPr>
          <w:color w:val="FF0000"/>
        </w:rPr>
        <w:t>’</w:t>
      </w:r>
      <w:r w:rsidR="00B34429" w:rsidRPr="00FD31BF">
        <w:rPr>
          <w:color w:val="FF0000"/>
        </w:rPr>
        <w:t xml:space="preserve"> for hhv.</w:t>
      </w:r>
      <w:r w:rsidR="00247C0B" w:rsidRPr="00FD31BF">
        <w:rPr>
          <w:color w:val="FF0000"/>
        </w:rPr>
        <w:t xml:space="preserve"> </w:t>
      </w:r>
      <w:proofErr w:type="spellStart"/>
      <w:r w:rsidR="00247C0B" w:rsidRPr="00FD31BF">
        <w:rPr>
          <w:color w:val="FF0000"/>
        </w:rPr>
        <w:t>univariate</w:t>
      </w:r>
      <w:proofErr w:type="spellEnd"/>
      <w:r w:rsidR="00247C0B" w:rsidRPr="00FD31BF">
        <w:rPr>
          <w:color w:val="FF0000"/>
        </w:rPr>
        <w:t xml:space="preserve"> vs. </w:t>
      </w:r>
      <w:proofErr w:type="spellStart"/>
      <w:r w:rsidR="00247C0B" w:rsidRPr="00FD31BF">
        <w:rPr>
          <w:color w:val="FF0000"/>
        </w:rPr>
        <w:t>multivariate</w:t>
      </w:r>
      <w:proofErr w:type="spellEnd"/>
      <w:r w:rsidR="00CE6797" w:rsidRPr="00FD31BF">
        <w:rPr>
          <w:color w:val="FF0000"/>
        </w:rPr>
        <w:t xml:space="preserve"> analyser</w:t>
      </w:r>
      <w:r w:rsidR="00247C0B" w:rsidRPr="00FD31BF">
        <w:rPr>
          <w:color w:val="FF0000"/>
        </w:rPr>
        <w:t>).</w:t>
      </w:r>
    </w:p>
    <w:p w:rsidR="00B34429" w:rsidRPr="00AB6B0F" w:rsidRDefault="000754AC" w:rsidP="00B1302E">
      <w:pPr>
        <w:rPr>
          <w:color w:val="FF0000"/>
        </w:rPr>
      </w:pPr>
      <w:r>
        <w:rPr>
          <w:color w:val="FF0000"/>
        </w:rPr>
        <w:t xml:space="preserve">Vi mener </w:t>
      </w:r>
      <w:r w:rsidR="00B34429">
        <w:rPr>
          <w:color w:val="FF0000"/>
        </w:rPr>
        <w:t>som udgangspunkt</w:t>
      </w:r>
      <w:r>
        <w:rPr>
          <w:color w:val="FF0000"/>
        </w:rPr>
        <w:t xml:space="preserve"> ikke</w:t>
      </w:r>
      <w:r w:rsidR="00B34429">
        <w:rPr>
          <w:color w:val="FF0000"/>
        </w:rPr>
        <w:t xml:space="preserve">, at vi skal bruge dyrebar artikelplads til trivielle statistiske betragtninger, specielt ikke, fordi de </w:t>
      </w:r>
      <w:r w:rsidR="00B34429" w:rsidRPr="00B34429">
        <w:rPr>
          <w:color w:val="FF0000"/>
          <w:u w:val="single"/>
        </w:rPr>
        <w:t>ikke</w:t>
      </w:r>
      <w:r w:rsidR="00B34429">
        <w:rPr>
          <w:color w:val="FF0000"/>
        </w:rPr>
        <w:t xml:space="preserve"> giver anledning til reelle statistiske problemer i studiet</w:t>
      </w:r>
      <w:r w:rsidR="00CE6797">
        <w:rPr>
          <w:color w:val="FF0000"/>
        </w:rPr>
        <w:t xml:space="preserve"> her</w:t>
      </w:r>
      <w:r w:rsidR="00B34429">
        <w:rPr>
          <w:color w:val="FF0000"/>
        </w:rPr>
        <w:t>.</w:t>
      </w:r>
      <w:r>
        <w:rPr>
          <w:color w:val="FF0000"/>
        </w:rPr>
        <w:t xml:space="preserve"> Det håber vi at I kan finde forståelse for. Vi tror ikke det ville gavne læsevenligheden </w:t>
      </w:r>
      <w:proofErr w:type="gramStart"/>
      <w:r>
        <w:rPr>
          <w:color w:val="FF0000"/>
        </w:rPr>
        <w:t>heller</w:t>
      </w:r>
      <w:proofErr w:type="gramEnd"/>
      <w:r>
        <w:rPr>
          <w:color w:val="FF0000"/>
        </w:rPr>
        <w:t>: vi kan</w:t>
      </w:r>
      <w:r w:rsidR="004B54E5">
        <w:rPr>
          <w:color w:val="FF0000"/>
        </w:rPr>
        <w:t xml:space="preserve"> simpelthen</w:t>
      </w:r>
      <w:r>
        <w:rPr>
          <w:color w:val="FF0000"/>
        </w:rPr>
        <w:t xml:space="preserve"> ikke give et statistik-kursus og yde studiet retfærdighed i samme artikel</w:t>
      </w:r>
      <w:r w:rsidR="004B54E5">
        <w:rPr>
          <w:color w:val="FF0000"/>
        </w:rPr>
        <w:t xml:space="preserve">, med den ordgrænse som </w:t>
      </w:r>
      <w:r w:rsidR="00FD31BF">
        <w:rPr>
          <w:color w:val="FF0000"/>
        </w:rPr>
        <w:t xml:space="preserve">pt. </w:t>
      </w:r>
      <w:r w:rsidR="004B54E5">
        <w:rPr>
          <w:color w:val="FF0000"/>
        </w:rPr>
        <w:t>eksisterer</w:t>
      </w:r>
      <w:r>
        <w:rPr>
          <w:color w:val="FF0000"/>
        </w:rPr>
        <w:t>. Derfor vil vi</w:t>
      </w:r>
      <w:r w:rsidR="00FD31BF">
        <w:rPr>
          <w:color w:val="FF0000"/>
        </w:rPr>
        <w:t xml:space="preserve"> simpelthen</w:t>
      </w:r>
      <w:r>
        <w:rPr>
          <w:color w:val="FF0000"/>
        </w:rPr>
        <w:t xml:space="preserve"> foreslå, at vi </w:t>
      </w:r>
      <w:r w:rsidRPr="004B54E5">
        <w:rPr>
          <w:i/>
          <w:color w:val="FF0000"/>
        </w:rPr>
        <w:t>ikke</w:t>
      </w:r>
      <w:r>
        <w:rPr>
          <w:color w:val="FF0000"/>
        </w:rPr>
        <w:t xml:space="preserve"> diskuterer den statistiske behandling af de 47 kvote 1’ere yderligere i artiklen.</w:t>
      </w:r>
      <w:r w:rsidR="004B56BE">
        <w:rPr>
          <w:color w:val="FF0000"/>
        </w:rPr>
        <w:t xml:space="preserve"> Derved undgår vi både at kede dem, der kan gennemskue statistikken og forvirre dem som ikke kan.</w:t>
      </w:r>
    </w:p>
    <w:p w:rsidR="00B1302E" w:rsidRDefault="00B1302E" w:rsidP="00B1302E">
      <w:r>
        <w:t xml:space="preserve">Det ville være interessant at sammenligne med frafaldsprocent fra tidligere årgange som et supplement til nærværende undersøgelse af 402 vs 47 studerende (det er jo praktisk talt kun 8 stud pr år der kommer igennem </w:t>
      </w:r>
      <w:proofErr w:type="spellStart"/>
      <w:r>
        <w:t>pga</w:t>
      </w:r>
      <w:proofErr w:type="spellEnd"/>
      <w:r>
        <w:t xml:space="preserve"> snit pr årgang fra 2002 til 2007).</w:t>
      </w:r>
    </w:p>
    <w:p w:rsidR="00B1302E" w:rsidRPr="0061043F" w:rsidRDefault="00AB6B0F">
      <w:pPr>
        <w:rPr>
          <w:color w:val="FF0000"/>
        </w:rPr>
      </w:pPr>
      <w:r w:rsidRPr="00C53C6B">
        <w:rPr>
          <w:color w:val="FF0000"/>
        </w:rPr>
        <w:t xml:space="preserve">LON: </w:t>
      </w:r>
      <w:r w:rsidR="0061043F">
        <w:rPr>
          <w:color w:val="FF0000"/>
        </w:rPr>
        <w:t xml:space="preserve">Som nævnt </w:t>
      </w:r>
      <w:r w:rsidR="00DA5DE6">
        <w:rPr>
          <w:color w:val="FF0000"/>
        </w:rPr>
        <w:t>herover - v</w:t>
      </w:r>
      <w:r w:rsidR="0061043F">
        <w:rPr>
          <w:color w:val="FF0000"/>
        </w:rPr>
        <w:t xml:space="preserve">i fandt en effekt af optagelsesprøver, </w:t>
      </w:r>
      <w:r w:rsidR="0061043F" w:rsidRPr="00247C0B">
        <w:rPr>
          <w:i/>
          <w:color w:val="FF0000"/>
        </w:rPr>
        <w:t>selv</w:t>
      </w:r>
      <w:r w:rsidR="00C01C8A">
        <w:rPr>
          <w:color w:val="FF0000"/>
        </w:rPr>
        <w:t xml:space="preserve"> med </w:t>
      </w:r>
      <w:r w:rsidR="0061043F">
        <w:rPr>
          <w:color w:val="FF0000"/>
        </w:rPr>
        <w:t xml:space="preserve">et </w:t>
      </w:r>
      <w:r w:rsidR="00C01C8A">
        <w:rPr>
          <w:color w:val="FF0000"/>
        </w:rPr>
        <w:t xml:space="preserve">mindre </w:t>
      </w:r>
      <w:r w:rsidR="0061043F">
        <w:rPr>
          <w:color w:val="FF0000"/>
        </w:rPr>
        <w:t xml:space="preserve">sample af kvote 1’ere, en effekt som endda overlevede kontrol for </w:t>
      </w:r>
      <w:proofErr w:type="spellStart"/>
      <w:r w:rsidR="0061043F">
        <w:rPr>
          <w:color w:val="FF0000"/>
        </w:rPr>
        <w:t>confounding</w:t>
      </w:r>
      <w:proofErr w:type="spellEnd"/>
      <w:r w:rsidR="0061043F">
        <w:rPr>
          <w:color w:val="FF0000"/>
        </w:rPr>
        <w:t xml:space="preserve">. </w:t>
      </w:r>
      <w:r w:rsidR="0061043F" w:rsidRPr="00C53C6B">
        <w:rPr>
          <w:color w:val="FF0000"/>
        </w:rPr>
        <w:t>Det har ikke været muligt for os, at opdatere</w:t>
      </w:r>
      <w:r w:rsidR="0061043F">
        <w:rPr>
          <w:color w:val="FF0000"/>
        </w:rPr>
        <w:t xml:space="preserve"> populationen, vi</w:t>
      </w:r>
      <w:r w:rsidR="00AA2BB9">
        <w:rPr>
          <w:color w:val="FF0000"/>
        </w:rPr>
        <w:t xml:space="preserve"> </w:t>
      </w:r>
      <w:r w:rsidR="0061043F" w:rsidRPr="00C53C6B">
        <w:rPr>
          <w:color w:val="FF0000"/>
        </w:rPr>
        <w:t>har</w:t>
      </w:r>
      <w:r w:rsidR="00AA2BB9">
        <w:rPr>
          <w:color w:val="FF0000"/>
        </w:rPr>
        <w:t xml:space="preserve"> skam</w:t>
      </w:r>
      <w:r w:rsidR="0061043F" w:rsidRPr="00C53C6B">
        <w:rPr>
          <w:color w:val="FF0000"/>
        </w:rPr>
        <w:t xml:space="preserve"> forsøgt</w:t>
      </w:r>
      <w:r w:rsidR="00AA2BB9">
        <w:rPr>
          <w:color w:val="FF0000"/>
        </w:rPr>
        <w:t xml:space="preserve"> bare for en god ordens skyld</w:t>
      </w:r>
      <w:r w:rsidR="0061043F" w:rsidRPr="00C53C6B">
        <w:rPr>
          <w:color w:val="FF0000"/>
        </w:rPr>
        <w:t>. Det strandede dels på problemer med administrative ressourcer til at levere dataudtrækket, samt at studiekon</w:t>
      </w:r>
      <w:r w:rsidR="0061043F">
        <w:rPr>
          <w:color w:val="FF0000"/>
        </w:rPr>
        <w:t xml:space="preserve">toret ikke længere kunne levere en sammenlignelig </w:t>
      </w:r>
      <w:r w:rsidR="0061043F" w:rsidRPr="00C53C6B">
        <w:rPr>
          <w:color w:val="FF0000"/>
        </w:rPr>
        <w:t>udtrækningsprocedure.</w:t>
      </w:r>
      <w:r w:rsidR="0061043F">
        <w:rPr>
          <w:color w:val="FF0000"/>
        </w:rPr>
        <w:t xml:space="preserve">  </w:t>
      </w:r>
      <w:r w:rsidR="001978BF">
        <w:rPr>
          <w:color w:val="FF0000"/>
        </w:rPr>
        <w:t xml:space="preserve">Det ville være endnu bedre om </w:t>
      </w:r>
      <w:r w:rsidR="004B56BE">
        <w:rPr>
          <w:color w:val="FF0000"/>
        </w:rPr>
        <w:t>andre forskere vil undersøge andre populationer på andre institutioner</w:t>
      </w:r>
      <w:r w:rsidR="001978BF">
        <w:rPr>
          <w:color w:val="FF0000"/>
        </w:rPr>
        <w:t xml:space="preserve"> i fremtiden </w:t>
      </w:r>
      <w:r w:rsidR="004B56BE">
        <w:rPr>
          <w:color w:val="FF0000"/>
        </w:rPr>
        <w:t>for den samlede viden</w:t>
      </w:r>
      <w:r w:rsidR="001978BF">
        <w:rPr>
          <w:color w:val="FF0000"/>
        </w:rPr>
        <w:t xml:space="preserve"> om optagelsesprøver og frafald</w:t>
      </w:r>
      <w:r w:rsidR="004B56BE">
        <w:rPr>
          <w:color w:val="FF0000"/>
        </w:rPr>
        <w:t>.</w:t>
      </w:r>
    </w:p>
    <w:p w:rsidR="00B1302E" w:rsidRDefault="00B1302E">
      <w:proofErr w:type="spellStart"/>
      <w:r>
        <w:t>Reviewer</w:t>
      </w:r>
      <w:proofErr w:type="spellEnd"/>
      <w:r>
        <w:t xml:space="preserve"> 2</w:t>
      </w:r>
    </w:p>
    <w:p w:rsidR="00B1302E" w:rsidRDefault="00B1302E" w:rsidP="00B1302E">
      <w:pPr>
        <w:rPr>
          <w:lang w:val="en-US"/>
        </w:rPr>
      </w:pPr>
      <w:proofErr w:type="gramStart"/>
      <w:r w:rsidRPr="00B1302E">
        <w:rPr>
          <w:lang w:val="en-US"/>
        </w:rPr>
        <w:t>Major - very relevant and well-written paper.</w:t>
      </w:r>
      <w:proofErr w:type="gramEnd"/>
      <w:r w:rsidRPr="00B1302E">
        <w:rPr>
          <w:lang w:val="en-US"/>
        </w:rPr>
        <w:t xml:space="preserve"> </w:t>
      </w:r>
      <w:proofErr w:type="gramStart"/>
      <w:r w:rsidRPr="00B1302E">
        <w:rPr>
          <w:lang w:val="en-US"/>
        </w:rPr>
        <w:t>some</w:t>
      </w:r>
      <w:proofErr w:type="gramEnd"/>
      <w:r w:rsidRPr="00B1302E">
        <w:rPr>
          <w:lang w:val="en-US"/>
        </w:rPr>
        <w:t xml:space="preserve"> minor/specific comment below.</w:t>
      </w:r>
    </w:p>
    <w:p w:rsidR="00FD31BF" w:rsidRPr="00FD31BF" w:rsidRDefault="002D1DEF" w:rsidP="00B1302E">
      <w:pPr>
        <w:rPr>
          <w:color w:val="FF0000"/>
          <w:lang w:val="en-US"/>
        </w:rPr>
      </w:pPr>
      <w:r>
        <w:rPr>
          <w:color w:val="FF0000"/>
          <w:lang w:val="en-US"/>
        </w:rPr>
        <w:t>LON: Thank you</w:t>
      </w:r>
      <w:r w:rsidR="00FD31BF" w:rsidRPr="00FD31BF">
        <w:rPr>
          <w:color w:val="FF0000"/>
          <w:lang w:val="en-US"/>
        </w:rPr>
        <w:t>.</w:t>
      </w:r>
    </w:p>
    <w:p w:rsidR="00B1302E" w:rsidRPr="00B1302E" w:rsidRDefault="00B1302E" w:rsidP="00B1302E">
      <w:pPr>
        <w:rPr>
          <w:lang w:val="en-US"/>
        </w:rPr>
      </w:pPr>
      <w:r w:rsidRPr="00B1302E">
        <w:rPr>
          <w:lang w:val="en-US"/>
        </w:rPr>
        <w:t xml:space="preserve">Specific comments </w:t>
      </w:r>
    </w:p>
    <w:p w:rsidR="00B1302E" w:rsidRDefault="00B1302E" w:rsidP="00B1302E">
      <w:pPr>
        <w:rPr>
          <w:lang w:val="en-US"/>
        </w:rPr>
      </w:pPr>
      <w:r w:rsidRPr="00B1302E">
        <w:rPr>
          <w:lang w:val="en-US"/>
        </w:rPr>
        <w:t>Methods: "The other ca. 80% of available</w:t>
      </w:r>
      <w:proofErr w:type="gramStart"/>
      <w:r w:rsidRPr="00B1302E">
        <w:rPr>
          <w:lang w:val="en-US"/>
        </w:rPr>
        <w:t>.."</w:t>
      </w:r>
      <w:proofErr w:type="gramEnd"/>
      <w:r w:rsidRPr="00B1302E">
        <w:rPr>
          <w:lang w:val="en-US"/>
        </w:rPr>
        <w:t xml:space="preserve"> - "ca" should be "approximately"</w:t>
      </w:r>
    </w:p>
    <w:p w:rsidR="00926D5D" w:rsidRPr="000754AC" w:rsidRDefault="00926D5D" w:rsidP="00B1302E">
      <w:pPr>
        <w:rPr>
          <w:color w:val="FF0000"/>
          <w:lang w:val="en-GB"/>
        </w:rPr>
      </w:pPr>
      <w:r w:rsidRPr="000754AC">
        <w:rPr>
          <w:color w:val="FF0000"/>
          <w:lang w:val="en-GB"/>
        </w:rPr>
        <w:lastRenderedPageBreak/>
        <w:t xml:space="preserve">LON: </w:t>
      </w:r>
      <w:r w:rsidR="000754AC" w:rsidRPr="000754AC">
        <w:rPr>
          <w:color w:val="FF0000"/>
          <w:lang w:val="en-GB"/>
        </w:rPr>
        <w:t>We agree, and have made the suggested change.</w:t>
      </w:r>
    </w:p>
    <w:p w:rsidR="00B1302E" w:rsidRDefault="00B1302E" w:rsidP="00B1302E">
      <w:pPr>
        <w:rPr>
          <w:lang w:val="en-US"/>
        </w:rPr>
      </w:pPr>
      <w:r w:rsidRPr="00B1302E">
        <w:rPr>
          <w:lang w:val="en-US"/>
        </w:rPr>
        <w:t>It is not clear why a "General knowledge test" was chosen rather than a test of knowledge within the relevant field (sport sciences) - this could/should be explained in more details.</w:t>
      </w:r>
    </w:p>
    <w:p w:rsidR="000167FE" w:rsidRDefault="002D1DEF" w:rsidP="00B1302E">
      <w:pPr>
        <w:rPr>
          <w:color w:val="FF0000"/>
          <w:lang w:val="en-GB"/>
        </w:rPr>
      </w:pPr>
      <w:r w:rsidRPr="002D1DEF">
        <w:rPr>
          <w:color w:val="FF0000"/>
          <w:lang w:val="en-GB"/>
        </w:rPr>
        <w:t>LO</w:t>
      </w:r>
      <w:r>
        <w:rPr>
          <w:color w:val="FF0000"/>
          <w:lang w:val="en-GB"/>
        </w:rPr>
        <w:t>N: We explained it in the method section with the words</w:t>
      </w:r>
      <w:r w:rsidRPr="002D1DEF">
        <w:rPr>
          <w:color w:val="FF0000"/>
          <w:lang w:val="en-GB"/>
        </w:rPr>
        <w:t xml:space="preserve">: </w:t>
      </w:r>
      <w:r w:rsidRPr="000167FE">
        <w:rPr>
          <w:color w:val="FF0000"/>
          <w:lang w:val="en-GB"/>
        </w:rPr>
        <w:t>“</w:t>
      </w:r>
      <w:r w:rsidR="003A682E" w:rsidRPr="000167FE">
        <w:rPr>
          <w:color w:val="FF0000"/>
          <w:lang w:val="en-GB"/>
        </w:rPr>
        <w:t>The aim of this [General Knowledge] test was to secure broad societal and cultural interests and curiosity towards knowledge in general amongst the ‘best match’ students, i.e. the specific content of the test was not thought to be particularly relevant.</w:t>
      </w:r>
      <w:r w:rsidR="000167FE">
        <w:rPr>
          <w:color w:val="FF0000"/>
          <w:lang w:val="en-GB"/>
        </w:rPr>
        <w:t>”</w:t>
      </w:r>
    </w:p>
    <w:p w:rsidR="00926D5D" w:rsidRPr="000167FE" w:rsidRDefault="003A682E" w:rsidP="00B1302E">
      <w:pPr>
        <w:rPr>
          <w:color w:val="FF0000"/>
          <w:lang w:val="en-GB"/>
        </w:rPr>
      </w:pPr>
      <w:r w:rsidRPr="000167FE">
        <w:rPr>
          <w:color w:val="FF0000"/>
          <w:lang w:val="en-GB"/>
        </w:rPr>
        <w:t xml:space="preserve"> </w:t>
      </w:r>
      <w:r w:rsidR="00C3383B" w:rsidRPr="000167FE">
        <w:rPr>
          <w:color w:val="FF0000"/>
          <w:lang w:val="en-GB"/>
        </w:rPr>
        <w:t xml:space="preserve">We do not have more details </w:t>
      </w:r>
      <w:r w:rsidR="004034F4" w:rsidRPr="000167FE">
        <w:rPr>
          <w:color w:val="FF0000"/>
          <w:lang w:val="en-GB"/>
        </w:rPr>
        <w:t xml:space="preserve">available </w:t>
      </w:r>
      <w:r w:rsidR="00C3383B" w:rsidRPr="000167FE">
        <w:rPr>
          <w:color w:val="FF0000"/>
          <w:lang w:val="en-GB"/>
        </w:rPr>
        <w:t xml:space="preserve">on </w:t>
      </w:r>
      <w:r w:rsidR="00FA26A7" w:rsidRPr="000167FE">
        <w:rPr>
          <w:color w:val="FF0000"/>
          <w:lang w:val="en-GB"/>
        </w:rPr>
        <w:t xml:space="preserve">this choice than what is </w:t>
      </w:r>
      <w:r w:rsidR="006E4D32" w:rsidRPr="000167FE">
        <w:rPr>
          <w:color w:val="FF0000"/>
          <w:lang w:val="en-GB"/>
        </w:rPr>
        <w:t xml:space="preserve">already </w:t>
      </w:r>
      <w:r w:rsidR="00FA26A7" w:rsidRPr="000167FE">
        <w:rPr>
          <w:color w:val="FF0000"/>
          <w:lang w:val="en-GB"/>
        </w:rPr>
        <w:t>described here.</w:t>
      </w:r>
    </w:p>
    <w:p w:rsidR="00B1302E" w:rsidRDefault="00B1302E" w:rsidP="00B1302E">
      <w:pPr>
        <w:rPr>
          <w:lang w:val="en-US"/>
        </w:rPr>
      </w:pPr>
      <w:r w:rsidRPr="00B1302E">
        <w:rPr>
          <w:lang w:val="en-US"/>
        </w:rPr>
        <w:t>"</w:t>
      </w:r>
      <w:proofErr w:type="gramStart"/>
      <w:r w:rsidRPr="00B1302E">
        <w:rPr>
          <w:lang w:val="en-US"/>
        </w:rPr>
        <w:t>generalizability</w:t>
      </w:r>
      <w:proofErr w:type="gramEnd"/>
      <w:r w:rsidRPr="00B1302E">
        <w:rPr>
          <w:lang w:val="en-US"/>
        </w:rPr>
        <w:t>" ?!?</w:t>
      </w:r>
    </w:p>
    <w:p w:rsidR="00926D5D" w:rsidRPr="008A65CE" w:rsidRDefault="00601CC5" w:rsidP="00B1302E">
      <w:pPr>
        <w:rPr>
          <w:color w:val="FF0000"/>
          <w:lang w:val="en-US"/>
        </w:rPr>
      </w:pPr>
      <w:r w:rsidRPr="008A65CE">
        <w:rPr>
          <w:color w:val="FF0000"/>
          <w:lang w:val="en-US"/>
        </w:rPr>
        <w:t>L</w:t>
      </w:r>
      <w:r w:rsidR="008A65CE" w:rsidRPr="008A65CE">
        <w:rPr>
          <w:color w:val="FF0000"/>
          <w:lang w:val="en-US"/>
        </w:rPr>
        <w:t xml:space="preserve">ON: </w:t>
      </w:r>
      <w:r w:rsidRPr="008A65CE">
        <w:rPr>
          <w:color w:val="FF0000"/>
          <w:lang w:val="en-US"/>
        </w:rPr>
        <w:t>‘Generalizability’ coefficients are ext</w:t>
      </w:r>
      <w:r w:rsidR="000167FE">
        <w:rPr>
          <w:color w:val="FF0000"/>
          <w:lang w:val="en-US"/>
        </w:rPr>
        <w:t>ensions of classical</w:t>
      </w:r>
      <w:r w:rsidRPr="008A65CE">
        <w:rPr>
          <w:color w:val="FF0000"/>
          <w:lang w:val="en-US"/>
        </w:rPr>
        <w:t xml:space="preserve"> reliability coefficients, which allows for </w:t>
      </w:r>
      <w:r w:rsidR="008A65CE">
        <w:rPr>
          <w:color w:val="FF0000"/>
          <w:lang w:val="en-US"/>
        </w:rPr>
        <w:t xml:space="preserve">the disentanglement of </w:t>
      </w:r>
      <w:r w:rsidRPr="008A65CE">
        <w:rPr>
          <w:color w:val="FF0000"/>
          <w:lang w:val="en-US"/>
        </w:rPr>
        <w:t xml:space="preserve">more than one source of error </w:t>
      </w:r>
      <w:r w:rsidR="000167FE">
        <w:rPr>
          <w:color w:val="FF0000"/>
          <w:lang w:val="en-US"/>
        </w:rPr>
        <w:t>with</w:t>
      </w:r>
      <w:r w:rsidRPr="008A65CE">
        <w:rPr>
          <w:color w:val="FF0000"/>
          <w:lang w:val="en-US"/>
        </w:rPr>
        <w:t xml:space="preserve">in the same </w:t>
      </w:r>
      <w:r w:rsidR="000167FE">
        <w:rPr>
          <w:color w:val="FF0000"/>
          <w:lang w:val="en-US"/>
        </w:rPr>
        <w:t xml:space="preserve">single </w:t>
      </w:r>
      <w:r w:rsidRPr="008A65CE">
        <w:rPr>
          <w:color w:val="FF0000"/>
          <w:lang w:val="en-US"/>
        </w:rPr>
        <w:t>coefficient. This extension of Classical Test Theory is called Genera</w:t>
      </w:r>
      <w:r w:rsidR="008A65CE" w:rsidRPr="008A65CE">
        <w:rPr>
          <w:color w:val="FF0000"/>
          <w:lang w:val="en-US"/>
        </w:rPr>
        <w:t xml:space="preserve">lizability Theory, </w:t>
      </w:r>
      <w:r w:rsidRPr="008A65CE">
        <w:rPr>
          <w:color w:val="FF0000"/>
          <w:lang w:val="en-US"/>
        </w:rPr>
        <w:t xml:space="preserve">and </w:t>
      </w:r>
      <w:r w:rsidR="008A65CE" w:rsidRPr="008A65CE">
        <w:rPr>
          <w:color w:val="FF0000"/>
          <w:lang w:val="en-US"/>
        </w:rPr>
        <w:t xml:space="preserve">the term </w:t>
      </w:r>
      <w:r w:rsidR="005A1EF6">
        <w:rPr>
          <w:color w:val="FF0000"/>
          <w:lang w:val="en-US"/>
        </w:rPr>
        <w:t>‘</w:t>
      </w:r>
      <w:r w:rsidR="008A65CE" w:rsidRPr="008A65CE">
        <w:rPr>
          <w:color w:val="FF0000"/>
          <w:lang w:val="en-US"/>
        </w:rPr>
        <w:t>g</w:t>
      </w:r>
      <w:r w:rsidR="00AA2BB9">
        <w:rPr>
          <w:color w:val="FF0000"/>
          <w:lang w:val="en-US"/>
        </w:rPr>
        <w:t>eneralizability</w:t>
      </w:r>
      <w:r w:rsidR="005A1EF6">
        <w:rPr>
          <w:color w:val="FF0000"/>
          <w:lang w:val="en-US"/>
        </w:rPr>
        <w:t>’</w:t>
      </w:r>
      <w:r w:rsidR="00AA2BB9">
        <w:rPr>
          <w:color w:val="FF0000"/>
          <w:lang w:val="en-US"/>
        </w:rPr>
        <w:t xml:space="preserve"> was</w:t>
      </w:r>
      <w:r w:rsidRPr="008A65CE">
        <w:rPr>
          <w:color w:val="FF0000"/>
          <w:lang w:val="en-US"/>
        </w:rPr>
        <w:t xml:space="preserve"> </w:t>
      </w:r>
      <w:r w:rsidR="008A65CE" w:rsidRPr="008A65CE">
        <w:rPr>
          <w:color w:val="FF0000"/>
          <w:lang w:val="en-US"/>
        </w:rPr>
        <w:t xml:space="preserve">therefore </w:t>
      </w:r>
      <w:r w:rsidR="006E4D32">
        <w:rPr>
          <w:color w:val="FF0000"/>
          <w:lang w:val="en-US"/>
        </w:rPr>
        <w:t>used in brack</w:t>
      </w:r>
      <w:r w:rsidR="000167FE">
        <w:rPr>
          <w:color w:val="FF0000"/>
          <w:lang w:val="en-US"/>
        </w:rPr>
        <w:t>ets after the word ‘reliability’</w:t>
      </w:r>
      <w:r w:rsidR="007E2F1E">
        <w:rPr>
          <w:color w:val="FF0000"/>
          <w:lang w:val="en-US"/>
        </w:rPr>
        <w:t>. We have removed</w:t>
      </w:r>
      <w:r w:rsidR="008A65CE" w:rsidRPr="008A65CE">
        <w:rPr>
          <w:color w:val="FF0000"/>
          <w:lang w:val="en-US"/>
        </w:rPr>
        <w:t xml:space="preserve"> the word </w:t>
      </w:r>
      <w:r w:rsidR="00AA2BB9">
        <w:rPr>
          <w:color w:val="FF0000"/>
          <w:lang w:val="en-US"/>
        </w:rPr>
        <w:t>‘</w:t>
      </w:r>
      <w:r w:rsidR="008A65CE" w:rsidRPr="008A65CE">
        <w:rPr>
          <w:color w:val="FF0000"/>
          <w:lang w:val="en-US"/>
        </w:rPr>
        <w:t>generalizability</w:t>
      </w:r>
      <w:r w:rsidR="00AA2BB9">
        <w:rPr>
          <w:color w:val="FF0000"/>
          <w:lang w:val="en-US"/>
        </w:rPr>
        <w:t>’</w:t>
      </w:r>
      <w:r w:rsidR="006E4D32">
        <w:rPr>
          <w:color w:val="FF0000"/>
          <w:lang w:val="en-US"/>
        </w:rPr>
        <w:t xml:space="preserve"> now</w:t>
      </w:r>
      <w:r w:rsidR="007E2F1E">
        <w:rPr>
          <w:color w:val="FF0000"/>
          <w:lang w:val="en-US"/>
        </w:rPr>
        <w:t xml:space="preserve"> </w:t>
      </w:r>
      <w:r w:rsidR="008A65CE" w:rsidRPr="008A65CE">
        <w:rPr>
          <w:color w:val="FF0000"/>
          <w:lang w:val="en-US"/>
        </w:rPr>
        <w:t>to ease the general understanding</w:t>
      </w:r>
      <w:r w:rsidR="00451786">
        <w:rPr>
          <w:color w:val="FF0000"/>
          <w:lang w:val="en-US"/>
        </w:rPr>
        <w:t xml:space="preserve">, </w:t>
      </w:r>
      <w:r w:rsidR="00041EBB">
        <w:rPr>
          <w:color w:val="FF0000"/>
          <w:lang w:val="en-US"/>
        </w:rPr>
        <w:t xml:space="preserve">because </w:t>
      </w:r>
      <w:r w:rsidR="00451786">
        <w:rPr>
          <w:color w:val="FF0000"/>
          <w:lang w:val="en-US"/>
        </w:rPr>
        <w:t>we think your</w:t>
      </w:r>
      <w:r w:rsidR="00041EBB">
        <w:rPr>
          <w:color w:val="FF0000"/>
          <w:lang w:val="en-US"/>
        </w:rPr>
        <w:t xml:space="preserve"> confusion is understandable</w:t>
      </w:r>
      <w:r w:rsidR="006E4D32">
        <w:rPr>
          <w:color w:val="FF0000"/>
          <w:lang w:val="en-US"/>
        </w:rPr>
        <w:t xml:space="preserve"> and probably shared by other readers</w:t>
      </w:r>
      <w:r w:rsidR="00041EBB">
        <w:rPr>
          <w:color w:val="FF0000"/>
          <w:lang w:val="en-US"/>
        </w:rPr>
        <w:t>.</w:t>
      </w:r>
    </w:p>
    <w:p w:rsidR="00B1302E" w:rsidRDefault="00B1302E" w:rsidP="00B1302E">
      <w:pPr>
        <w:rPr>
          <w:lang w:val="en-US"/>
        </w:rPr>
      </w:pPr>
      <w:r w:rsidRPr="00B1302E">
        <w:rPr>
          <w:lang w:val="en-US"/>
        </w:rPr>
        <w:t>RESULTS - p=</w:t>
      </w:r>
      <w:proofErr w:type="gramStart"/>
      <w:r w:rsidRPr="00B1302E">
        <w:rPr>
          <w:lang w:val="en-US"/>
        </w:rPr>
        <w:t>0.000 ?</w:t>
      </w:r>
      <w:proofErr w:type="gramEnd"/>
      <w:r w:rsidRPr="00B1302E">
        <w:rPr>
          <w:lang w:val="en-US"/>
        </w:rPr>
        <w:t xml:space="preserve">!? - </w:t>
      </w:r>
      <w:proofErr w:type="gramStart"/>
      <w:r w:rsidRPr="00B1302E">
        <w:rPr>
          <w:lang w:val="en-US"/>
        </w:rPr>
        <w:t>suggest</w:t>
      </w:r>
      <w:proofErr w:type="gramEnd"/>
      <w:r w:rsidRPr="00B1302E">
        <w:rPr>
          <w:lang w:val="en-US"/>
        </w:rPr>
        <w:t xml:space="preserve"> you use standard categories - here  P &lt; 0.001</w:t>
      </w:r>
    </w:p>
    <w:p w:rsidR="00926D5D" w:rsidRDefault="00520818" w:rsidP="00B1302E">
      <w:pPr>
        <w:rPr>
          <w:color w:val="FF0000"/>
          <w:lang w:val="en-US"/>
        </w:rPr>
      </w:pPr>
      <w:r>
        <w:rPr>
          <w:color w:val="FF0000"/>
          <w:lang w:val="en-US"/>
        </w:rPr>
        <w:t>LON: In our experience, p-value estimates</w:t>
      </w:r>
      <w:r w:rsidR="00926D5D" w:rsidRPr="00601CC5">
        <w:rPr>
          <w:color w:val="FF0000"/>
          <w:lang w:val="en-US"/>
        </w:rPr>
        <w:t xml:space="preserve"> are typically reported </w:t>
      </w:r>
      <w:r w:rsidR="00953BAA">
        <w:rPr>
          <w:color w:val="FF0000"/>
          <w:lang w:val="en-US"/>
        </w:rPr>
        <w:t xml:space="preserve">as exact values </w:t>
      </w:r>
      <w:r w:rsidR="00926D5D" w:rsidRPr="00601CC5">
        <w:rPr>
          <w:color w:val="FF0000"/>
          <w:lang w:val="en-US"/>
        </w:rPr>
        <w:t>with 3 decimals in the international literature. Modern statisti</w:t>
      </w:r>
      <w:r w:rsidR="004034F4">
        <w:rPr>
          <w:color w:val="FF0000"/>
          <w:lang w:val="en-US"/>
        </w:rPr>
        <w:t>cal packages like STATA supply</w:t>
      </w:r>
      <w:r w:rsidR="00926D5D" w:rsidRPr="00601CC5">
        <w:rPr>
          <w:color w:val="FF0000"/>
          <w:lang w:val="en-US"/>
        </w:rPr>
        <w:t xml:space="preserve"> </w:t>
      </w:r>
      <w:r w:rsidR="00601CC5">
        <w:rPr>
          <w:i/>
          <w:color w:val="FF0000"/>
          <w:lang w:val="en-US"/>
        </w:rPr>
        <w:t>exact</w:t>
      </w:r>
      <w:r>
        <w:rPr>
          <w:color w:val="FF0000"/>
          <w:lang w:val="en-US"/>
        </w:rPr>
        <w:t xml:space="preserve"> value estimates</w:t>
      </w:r>
      <w:r w:rsidR="00926D5D" w:rsidRPr="00601CC5">
        <w:rPr>
          <w:color w:val="FF0000"/>
          <w:lang w:val="en-US"/>
        </w:rPr>
        <w:t xml:space="preserve"> for p.</w:t>
      </w:r>
      <w:r w:rsidR="00E87141" w:rsidRPr="00601CC5">
        <w:rPr>
          <w:color w:val="FF0000"/>
          <w:lang w:val="en-US"/>
        </w:rPr>
        <w:t xml:space="preserve"> This means that p=0.000 is in fact an </w:t>
      </w:r>
      <w:r w:rsidR="00601CC5">
        <w:rPr>
          <w:color w:val="FF0000"/>
          <w:lang w:val="en-US"/>
        </w:rPr>
        <w:t>exact value below 0.0005</w:t>
      </w:r>
      <w:r w:rsidR="00E87141" w:rsidRPr="00601CC5">
        <w:rPr>
          <w:color w:val="FF0000"/>
          <w:lang w:val="en-US"/>
        </w:rPr>
        <w:t xml:space="preserve">. </w:t>
      </w:r>
      <w:r w:rsidR="00112D34">
        <w:rPr>
          <w:color w:val="FF0000"/>
          <w:lang w:val="en-US"/>
        </w:rPr>
        <w:t xml:space="preserve"> We</w:t>
      </w:r>
      <w:r w:rsidR="00926D5D" w:rsidRPr="00601CC5">
        <w:rPr>
          <w:color w:val="FF0000"/>
          <w:lang w:val="en-US"/>
        </w:rPr>
        <w:t xml:space="preserve"> believe that </w:t>
      </w:r>
      <w:r w:rsidR="00E87141" w:rsidRPr="00601CC5">
        <w:rPr>
          <w:color w:val="FF0000"/>
          <w:lang w:val="en-US"/>
        </w:rPr>
        <w:t>‘</w:t>
      </w:r>
      <w:r w:rsidR="00926D5D" w:rsidRPr="00601CC5">
        <w:rPr>
          <w:color w:val="FF0000"/>
          <w:lang w:val="en-US"/>
        </w:rPr>
        <w:t>p&lt;0.001</w:t>
      </w:r>
      <w:r w:rsidR="00E87141" w:rsidRPr="00601CC5">
        <w:rPr>
          <w:color w:val="FF0000"/>
          <w:lang w:val="en-US"/>
        </w:rPr>
        <w:t>’</w:t>
      </w:r>
      <w:r w:rsidR="00926D5D" w:rsidRPr="00601CC5">
        <w:rPr>
          <w:color w:val="FF0000"/>
          <w:lang w:val="en-US"/>
        </w:rPr>
        <w:t xml:space="preserve"> is a leftover from</w:t>
      </w:r>
      <w:r w:rsidR="004034F4">
        <w:rPr>
          <w:color w:val="FF0000"/>
          <w:lang w:val="en-US"/>
        </w:rPr>
        <w:t xml:space="preserve"> the </w:t>
      </w:r>
      <w:r w:rsidR="0071631D">
        <w:rPr>
          <w:color w:val="FF0000"/>
          <w:lang w:val="en-US"/>
        </w:rPr>
        <w:t xml:space="preserve">old </w:t>
      </w:r>
      <w:r w:rsidR="00926D5D" w:rsidRPr="00601CC5">
        <w:rPr>
          <w:color w:val="FF0000"/>
          <w:lang w:val="en-US"/>
        </w:rPr>
        <w:t>days</w:t>
      </w:r>
      <w:r w:rsidR="00E87141" w:rsidRPr="00601CC5">
        <w:rPr>
          <w:color w:val="FF0000"/>
          <w:lang w:val="en-US"/>
        </w:rPr>
        <w:t>,</w:t>
      </w:r>
      <w:r w:rsidR="00926D5D" w:rsidRPr="00601CC5">
        <w:rPr>
          <w:color w:val="FF0000"/>
          <w:lang w:val="en-US"/>
        </w:rPr>
        <w:t xml:space="preserve"> whe</w:t>
      </w:r>
      <w:r w:rsidR="004A6F7B">
        <w:rPr>
          <w:color w:val="FF0000"/>
          <w:lang w:val="en-US"/>
        </w:rPr>
        <w:t>n we had</w:t>
      </w:r>
      <w:r w:rsidR="00601CC5">
        <w:rPr>
          <w:color w:val="FF0000"/>
          <w:lang w:val="en-US"/>
        </w:rPr>
        <w:t xml:space="preserve"> to use p-</w:t>
      </w:r>
      <w:r w:rsidR="005A1EF6">
        <w:rPr>
          <w:color w:val="FF0000"/>
          <w:lang w:val="en-US"/>
        </w:rPr>
        <w:t>value</w:t>
      </w:r>
      <w:r w:rsidR="00E87141" w:rsidRPr="00601CC5">
        <w:rPr>
          <w:color w:val="FF0000"/>
          <w:lang w:val="en-US"/>
        </w:rPr>
        <w:t xml:space="preserve"> intervals (</w:t>
      </w:r>
      <w:r w:rsidR="00601CC5">
        <w:rPr>
          <w:color w:val="FF0000"/>
          <w:lang w:val="en-US"/>
        </w:rPr>
        <w:t xml:space="preserve">i.e. </w:t>
      </w:r>
      <w:r w:rsidR="00E87141" w:rsidRPr="00601CC5">
        <w:rPr>
          <w:color w:val="FF0000"/>
          <w:lang w:val="en-US"/>
        </w:rPr>
        <w:t>p&lt;0.05, p&lt;0.01 or p&lt;0.001)</w:t>
      </w:r>
      <w:r w:rsidR="00601CC5">
        <w:rPr>
          <w:color w:val="FF0000"/>
          <w:lang w:val="en-US"/>
        </w:rPr>
        <w:t>,</w:t>
      </w:r>
      <w:r w:rsidR="00E87141" w:rsidRPr="00601CC5">
        <w:rPr>
          <w:color w:val="FF0000"/>
          <w:lang w:val="en-US"/>
        </w:rPr>
        <w:t xml:space="preserve"> </w:t>
      </w:r>
      <w:r w:rsidR="00601CC5">
        <w:rPr>
          <w:color w:val="FF0000"/>
          <w:lang w:val="en-US"/>
        </w:rPr>
        <w:t>because we had to consult</w:t>
      </w:r>
      <w:r w:rsidR="00E87141" w:rsidRPr="00601CC5">
        <w:rPr>
          <w:color w:val="FF0000"/>
          <w:lang w:val="en-US"/>
        </w:rPr>
        <w:t xml:space="preserve"> distributional tables</w:t>
      </w:r>
      <w:r w:rsidR="005A1EF6">
        <w:rPr>
          <w:color w:val="FF0000"/>
          <w:lang w:val="en-US"/>
        </w:rPr>
        <w:t xml:space="preserve"> in text</w:t>
      </w:r>
      <w:r w:rsidR="0071631D">
        <w:rPr>
          <w:color w:val="FF0000"/>
          <w:lang w:val="en-US"/>
        </w:rPr>
        <w:t>books</w:t>
      </w:r>
      <w:r w:rsidR="00601CC5">
        <w:rPr>
          <w:color w:val="FF0000"/>
          <w:lang w:val="en-US"/>
        </w:rPr>
        <w:t xml:space="preserve"> to get an estimate of p</w:t>
      </w:r>
      <w:r w:rsidR="00E87141" w:rsidRPr="00601CC5">
        <w:rPr>
          <w:color w:val="FF0000"/>
          <w:lang w:val="en-US"/>
        </w:rPr>
        <w:t>. In any case, p&lt;0.001 is actually less precise than p=0.000</w:t>
      </w:r>
      <w:r w:rsidR="00C76F33">
        <w:rPr>
          <w:color w:val="FF0000"/>
          <w:lang w:val="en-US"/>
        </w:rPr>
        <w:t>, so we suggest tha</w:t>
      </w:r>
      <w:r w:rsidR="0071631D">
        <w:rPr>
          <w:color w:val="FF0000"/>
          <w:lang w:val="en-US"/>
        </w:rPr>
        <w:t>t we keep it precisely as it is</w:t>
      </w:r>
      <w:r w:rsidR="00C76F33">
        <w:rPr>
          <w:color w:val="FF0000"/>
          <w:lang w:val="en-US"/>
        </w:rPr>
        <w:t>.</w:t>
      </w:r>
      <w:r w:rsidR="00C3383B">
        <w:rPr>
          <w:color w:val="FF0000"/>
          <w:lang w:val="en-US"/>
        </w:rPr>
        <w:t xml:space="preserve"> </w:t>
      </w:r>
    </w:p>
    <w:p w:rsidR="00C3383B" w:rsidRPr="00601CC5" w:rsidRDefault="00953BAA" w:rsidP="00B1302E">
      <w:pPr>
        <w:rPr>
          <w:color w:val="FF0000"/>
          <w:lang w:val="en-US"/>
        </w:rPr>
      </w:pPr>
      <w:r>
        <w:rPr>
          <w:color w:val="FF0000"/>
          <w:lang w:val="en-US"/>
        </w:rPr>
        <w:t>However, your comment drew our attention to the fact</w:t>
      </w:r>
      <w:r w:rsidR="00C3383B">
        <w:rPr>
          <w:color w:val="FF0000"/>
          <w:lang w:val="en-US"/>
        </w:rPr>
        <w:t xml:space="preserve">, that we have </w:t>
      </w:r>
      <w:proofErr w:type="gramStart"/>
      <w:r w:rsidR="00C3383B">
        <w:rPr>
          <w:color w:val="FF0000"/>
          <w:lang w:val="en-US"/>
        </w:rPr>
        <w:t>used</w:t>
      </w:r>
      <w:r>
        <w:rPr>
          <w:color w:val="FF0000"/>
          <w:lang w:val="en-US"/>
        </w:rPr>
        <w:t xml:space="preserve"> </w:t>
      </w:r>
      <w:r w:rsidR="00520818">
        <w:rPr>
          <w:color w:val="FF0000"/>
          <w:lang w:val="en-US"/>
        </w:rPr>
        <w:t>,</w:t>
      </w:r>
      <w:proofErr w:type="gramEnd"/>
      <w:r w:rsidR="00C3383B">
        <w:rPr>
          <w:color w:val="FF0000"/>
          <w:lang w:val="en-US"/>
        </w:rPr>
        <w:t xml:space="preserve"> instead of . </w:t>
      </w:r>
      <w:r w:rsidR="00520818">
        <w:rPr>
          <w:color w:val="FF0000"/>
          <w:lang w:val="en-US"/>
        </w:rPr>
        <w:t xml:space="preserve"> </w:t>
      </w:r>
      <w:r w:rsidR="00C3383B">
        <w:rPr>
          <w:color w:val="FF0000"/>
          <w:lang w:val="en-US"/>
        </w:rPr>
        <w:t>in the values in tables</w:t>
      </w:r>
      <w:r>
        <w:rPr>
          <w:color w:val="FF0000"/>
          <w:lang w:val="en-US"/>
        </w:rPr>
        <w:t xml:space="preserve">, so </w:t>
      </w:r>
      <w:r w:rsidR="00C3383B">
        <w:rPr>
          <w:color w:val="FF0000"/>
          <w:lang w:val="en-US"/>
        </w:rPr>
        <w:t xml:space="preserve">we have corrected this mistake. </w:t>
      </w:r>
    </w:p>
    <w:p w:rsidR="00B1302E" w:rsidRDefault="00B1302E" w:rsidP="00B1302E">
      <w:pPr>
        <w:rPr>
          <w:lang w:val="en-US"/>
        </w:rPr>
      </w:pPr>
      <w:r w:rsidRPr="00B1302E">
        <w:rPr>
          <w:lang w:val="en-US"/>
        </w:rPr>
        <w:t xml:space="preserve">"In other words: the ‘best match’ students were less well-qualified academically than the traditionally admitted students (grade-based admission)." - </w:t>
      </w:r>
      <w:proofErr w:type="gramStart"/>
      <w:r w:rsidRPr="00B1302E">
        <w:rPr>
          <w:lang w:val="en-US"/>
        </w:rPr>
        <w:t>this</w:t>
      </w:r>
      <w:proofErr w:type="gramEnd"/>
      <w:r w:rsidRPr="00B1302E">
        <w:rPr>
          <w:lang w:val="en-US"/>
        </w:rPr>
        <w:t xml:space="preserve"> is </w:t>
      </w:r>
      <w:proofErr w:type="spellStart"/>
      <w:r w:rsidRPr="00B1302E">
        <w:rPr>
          <w:lang w:val="en-US"/>
        </w:rPr>
        <w:t>disussion</w:t>
      </w:r>
      <w:proofErr w:type="spellEnd"/>
      <w:r w:rsidRPr="00B1302E">
        <w:rPr>
          <w:lang w:val="en-US"/>
        </w:rPr>
        <w:t xml:space="preserve"> and should be moved to that section.</w:t>
      </w:r>
    </w:p>
    <w:p w:rsidR="004B56BE" w:rsidRPr="007D369B" w:rsidRDefault="00AC5A1D" w:rsidP="00B1302E">
      <w:pPr>
        <w:rPr>
          <w:color w:val="FF0000"/>
          <w:lang w:val="en-GB"/>
        </w:rPr>
      </w:pPr>
      <w:r w:rsidRPr="00AC5A1D">
        <w:rPr>
          <w:color w:val="FF0000"/>
          <w:lang w:val="en-US"/>
        </w:rPr>
        <w:t>LO</w:t>
      </w:r>
      <w:r w:rsidR="007D369B">
        <w:rPr>
          <w:color w:val="FF0000"/>
          <w:lang w:val="en-US"/>
        </w:rPr>
        <w:t xml:space="preserve">N: </w:t>
      </w:r>
      <w:r w:rsidR="00AF35AB">
        <w:rPr>
          <w:color w:val="FF0000"/>
          <w:lang w:val="en-US"/>
        </w:rPr>
        <w:t>OK, w</w:t>
      </w:r>
      <w:r w:rsidR="007D369B">
        <w:rPr>
          <w:color w:val="FF0000"/>
          <w:lang w:val="en-US"/>
        </w:rPr>
        <w:t xml:space="preserve">e have removed the sentence completely now. It was meant to clarify the results described in the previous line to readers with little statistical understanding. </w:t>
      </w:r>
    </w:p>
    <w:p w:rsidR="00B1302E" w:rsidRDefault="00B1302E" w:rsidP="00B1302E">
      <w:pPr>
        <w:rPr>
          <w:lang w:val="en-US"/>
        </w:rPr>
      </w:pPr>
      <w:r w:rsidRPr="00B1302E">
        <w:rPr>
          <w:lang w:val="en-US"/>
        </w:rPr>
        <w:t xml:space="preserve">Similarly for the last part of this sentence - "The odds of dropping out were 2.22 times larger for students in the grade-based admission group compared to students in the best-match admission group though the latter were less well-qualified </w:t>
      </w:r>
      <w:proofErr w:type="gramStart"/>
      <w:r w:rsidRPr="00B1302E">
        <w:rPr>
          <w:lang w:val="en-US"/>
        </w:rPr>
        <w:t>academically "</w:t>
      </w:r>
      <w:proofErr w:type="gramEnd"/>
    </w:p>
    <w:p w:rsidR="00AC5A1D" w:rsidRPr="00AC5A1D" w:rsidRDefault="00AC5A1D" w:rsidP="00AC5A1D">
      <w:pPr>
        <w:rPr>
          <w:color w:val="FF0000"/>
          <w:lang w:val="en-US"/>
        </w:rPr>
      </w:pPr>
      <w:r w:rsidRPr="00AC5A1D">
        <w:rPr>
          <w:color w:val="FF0000"/>
          <w:lang w:val="en-US"/>
        </w:rPr>
        <w:t>LO</w:t>
      </w:r>
      <w:r w:rsidR="00240C88">
        <w:rPr>
          <w:color w:val="FF0000"/>
          <w:lang w:val="en-US"/>
        </w:rPr>
        <w:t xml:space="preserve">N: All right </w:t>
      </w:r>
      <w:r w:rsidR="00FF7249">
        <w:rPr>
          <w:color w:val="FF0000"/>
          <w:lang w:val="en-US"/>
        </w:rPr>
        <w:t xml:space="preserve">then </w:t>
      </w:r>
      <w:r w:rsidR="00240C88">
        <w:rPr>
          <w:color w:val="FF0000"/>
          <w:lang w:val="en-US"/>
        </w:rPr>
        <w:t>– we have removed the last part of the sentence, though we tend to disagree</w:t>
      </w:r>
      <w:r w:rsidR="00FF7249">
        <w:rPr>
          <w:color w:val="FF0000"/>
          <w:lang w:val="en-US"/>
        </w:rPr>
        <w:t xml:space="preserve"> somewhat</w:t>
      </w:r>
      <w:r w:rsidR="00FC0535">
        <w:rPr>
          <w:color w:val="FF0000"/>
          <w:lang w:val="en-US"/>
        </w:rPr>
        <w:t>.</w:t>
      </w:r>
      <w:r w:rsidR="00EF7900">
        <w:rPr>
          <w:color w:val="FF0000"/>
          <w:lang w:val="en-US"/>
        </w:rPr>
        <w:t xml:space="preserve"> It is not</w:t>
      </w:r>
      <w:r w:rsidR="00240C88">
        <w:rPr>
          <w:color w:val="FF0000"/>
          <w:lang w:val="en-US"/>
        </w:rPr>
        <w:t xml:space="preserve"> for discussion </w:t>
      </w:r>
      <w:r w:rsidR="00FF7249">
        <w:rPr>
          <w:color w:val="FF0000"/>
          <w:lang w:val="en-US"/>
        </w:rPr>
        <w:t xml:space="preserve">per se, </w:t>
      </w:r>
      <w:r w:rsidR="00240C88">
        <w:rPr>
          <w:color w:val="FF0000"/>
          <w:lang w:val="en-US"/>
        </w:rPr>
        <w:t xml:space="preserve">it </w:t>
      </w:r>
      <w:r w:rsidR="002A75BE">
        <w:rPr>
          <w:color w:val="FF0000"/>
          <w:lang w:val="en-US"/>
        </w:rPr>
        <w:t xml:space="preserve">is a </w:t>
      </w:r>
      <w:r w:rsidR="00DB1C04">
        <w:rPr>
          <w:color w:val="FF0000"/>
          <w:lang w:val="en-US"/>
        </w:rPr>
        <w:t>result</w:t>
      </w:r>
      <w:r w:rsidR="00240C88">
        <w:rPr>
          <w:color w:val="FF0000"/>
          <w:lang w:val="en-US"/>
        </w:rPr>
        <w:t>.</w:t>
      </w:r>
    </w:p>
    <w:p w:rsidR="00AC5A1D" w:rsidRPr="00B1302E" w:rsidRDefault="00AC5A1D" w:rsidP="00B1302E">
      <w:pPr>
        <w:rPr>
          <w:lang w:val="en-US"/>
        </w:rPr>
      </w:pPr>
    </w:p>
    <w:p w:rsidR="00B1302E" w:rsidRPr="00B1302E" w:rsidRDefault="00B1302E" w:rsidP="00B1302E">
      <w:pPr>
        <w:rPr>
          <w:lang w:val="en-US"/>
        </w:rPr>
      </w:pPr>
      <w:r w:rsidRPr="00B1302E">
        <w:rPr>
          <w:lang w:val="en-US"/>
        </w:rPr>
        <w:t>Discussion:</w:t>
      </w:r>
    </w:p>
    <w:p w:rsidR="00B1302E" w:rsidRDefault="00B1302E" w:rsidP="00B1302E">
      <w:pPr>
        <w:rPr>
          <w:lang w:val="en-US"/>
        </w:rPr>
      </w:pPr>
      <w:r w:rsidRPr="00B1302E">
        <w:rPr>
          <w:lang w:val="en-US"/>
        </w:rPr>
        <w:lastRenderedPageBreak/>
        <w:t xml:space="preserve">"We found that pre-university grades were not predictors of subsequent dropout for these particular students in this particular setting, which is in contrast to global findings in higher education" - could this relate to the fact that you only observe student with a grading above a certain cut-off. I.e. the students you obtain have a sufficient </w:t>
      </w:r>
      <w:proofErr w:type="gramStart"/>
      <w:r w:rsidRPr="00B1302E">
        <w:rPr>
          <w:lang w:val="en-US"/>
        </w:rPr>
        <w:t>level ?</w:t>
      </w:r>
      <w:proofErr w:type="gramEnd"/>
    </w:p>
    <w:p w:rsidR="001856FB" w:rsidRDefault="00AC5A1D" w:rsidP="00B1302E">
      <w:pPr>
        <w:rPr>
          <w:color w:val="FF0000"/>
          <w:lang w:val="en-US"/>
        </w:rPr>
      </w:pPr>
      <w:r w:rsidRPr="00AC5A1D">
        <w:rPr>
          <w:color w:val="FF0000"/>
          <w:lang w:val="en-US"/>
        </w:rPr>
        <w:t>LON:</w:t>
      </w:r>
      <w:r w:rsidR="00FD31BF">
        <w:rPr>
          <w:color w:val="FF0000"/>
          <w:lang w:val="en-US"/>
        </w:rPr>
        <w:t xml:space="preserve"> Yes and no. </w:t>
      </w:r>
      <w:r w:rsidR="00BB16C1">
        <w:rPr>
          <w:color w:val="FF0000"/>
          <w:lang w:val="en-US"/>
        </w:rPr>
        <w:t>‘</w:t>
      </w:r>
      <w:r w:rsidR="00FD31BF">
        <w:rPr>
          <w:color w:val="FF0000"/>
          <w:lang w:val="en-US"/>
        </w:rPr>
        <w:t>Yes</w:t>
      </w:r>
      <w:r w:rsidR="00BB16C1">
        <w:rPr>
          <w:color w:val="FF0000"/>
          <w:lang w:val="en-US"/>
        </w:rPr>
        <w:t>’</w:t>
      </w:r>
      <w:r w:rsidR="003A5659">
        <w:rPr>
          <w:color w:val="FF0000"/>
          <w:lang w:val="en-US"/>
        </w:rPr>
        <w:t xml:space="preserve"> because: o</w:t>
      </w:r>
      <w:r w:rsidR="00FD31BF">
        <w:rPr>
          <w:color w:val="FF0000"/>
          <w:lang w:val="en-US"/>
        </w:rPr>
        <w:t>ther Danish authors (Christensen &amp; Juul, 1999) have found that</w:t>
      </w:r>
      <w:r w:rsidR="00BB16C1">
        <w:rPr>
          <w:color w:val="FF0000"/>
          <w:lang w:val="en-US"/>
        </w:rPr>
        <w:t xml:space="preserve"> having obtained medium average grades</w:t>
      </w:r>
      <w:r w:rsidR="004B56BE">
        <w:rPr>
          <w:color w:val="FF0000"/>
          <w:lang w:val="en-US"/>
        </w:rPr>
        <w:t xml:space="preserve"> in</w:t>
      </w:r>
      <w:r w:rsidR="00BB16C1">
        <w:rPr>
          <w:color w:val="FF0000"/>
          <w:lang w:val="en-US"/>
        </w:rPr>
        <w:t xml:space="preserve"> upper secondary school (8 or above on the old grading scale) was protective of dropout in medical school at AU. Most likely ‘no’</w:t>
      </w:r>
      <w:r w:rsidR="008C408E">
        <w:rPr>
          <w:color w:val="FF0000"/>
          <w:lang w:val="en-US"/>
        </w:rPr>
        <w:t xml:space="preserve"> in this particular case,</w:t>
      </w:r>
      <w:r w:rsidR="00BB16C1">
        <w:rPr>
          <w:color w:val="FF0000"/>
          <w:lang w:val="en-US"/>
        </w:rPr>
        <w:t xml:space="preserve"> because: </w:t>
      </w:r>
      <w:r w:rsidR="00FD31BF">
        <w:rPr>
          <w:color w:val="FF0000"/>
          <w:lang w:val="en-US"/>
        </w:rPr>
        <w:t xml:space="preserve"> </w:t>
      </w:r>
      <w:r w:rsidR="003A5659">
        <w:rPr>
          <w:color w:val="FF0000"/>
          <w:lang w:val="en-US"/>
        </w:rPr>
        <w:t xml:space="preserve">our sample of 449 </w:t>
      </w:r>
      <w:r w:rsidR="002A75BE">
        <w:rPr>
          <w:color w:val="FF0000"/>
          <w:lang w:val="en-US"/>
        </w:rPr>
        <w:t xml:space="preserve">sports science </w:t>
      </w:r>
      <w:r w:rsidR="003A5659">
        <w:rPr>
          <w:color w:val="FF0000"/>
          <w:lang w:val="en-US"/>
        </w:rPr>
        <w:t xml:space="preserve">students had a relatively wide range of grades (see </w:t>
      </w:r>
      <w:r w:rsidR="005B254A">
        <w:rPr>
          <w:color w:val="FF0000"/>
          <w:lang w:val="en-US"/>
        </w:rPr>
        <w:t>‘</w:t>
      </w:r>
      <w:proofErr w:type="spellStart"/>
      <w:r w:rsidR="003A5659">
        <w:rPr>
          <w:color w:val="FF0000"/>
          <w:lang w:val="en-US"/>
        </w:rPr>
        <w:t>pu</w:t>
      </w:r>
      <w:proofErr w:type="spellEnd"/>
      <w:r w:rsidR="003A5659">
        <w:rPr>
          <w:color w:val="FF0000"/>
          <w:lang w:val="en-US"/>
        </w:rPr>
        <w:t>-GPA</w:t>
      </w:r>
      <w:r w:rsidR="005B254A">
        <w:rPr>
          <w:color w:val="FF0000"/>
          <w:lang w:val="en-US"/>
        </w:rPr>
        <w:t>’</w:t>
      </w:r>
      <w:r w:rsidR="003A5659">
        <w:rPr>
          <w:color w:val="FF0000"/>
          <w:lang w:val="en-US"/>
        </w:rPr>
        <w:t xml:space="preserve"> in table 1), with a minimum of 2.6 and a maximum of 10.8, i.e. we do not just observe students with medium-high grades</w:t>
      </w:r>
      <w:r w:rsidR="000C72B3">
        <w:rPr>
          <w:color w:val="FF0000"/>
          <w:lang w:val="en-US"/>
        </w:rPr>
        <w:t xml:space="preserve"> (‘above a certain cut-off’)</w:t>
      </w:r>
      <w:r w:rsidR="003A5659">
        <w:rPr>
          <w:color w:val="FF0000"/>
          <w:lang w:val="en-US"/>
        </w:rPr>
        <w:t xml:space="preserve"> – we actually have students with quite low grades in our sample too</w:t>
      </w:r>
      <w:r w:rsidR="00464BE3">
        <w:rPr>
          <w:color w:val="FF0000"/>
          <w:lang w:val="en-US"/>
        </w:rPr>
        <w:t xml:space="preserve"> (2.6 is ju</w:t>
      </w:r>
      <w:r w:rsidR="002A75BE">
        <w:rPr>
          <w:color w:val="FF0000"/>
          <w:lang w:val="en-US"/>
        </w:rPr>
        <w:t xml:space="preserve">st above the pass mark </w:t>
      </w:r>
      <w:r w:rsidR="00464BE3">
        <w:rPr>
          <w:color w:val="FF0000"/>
          <w:lang w:val="en-US"/>
        </w:rPr>
        <w:t>2)</w:t>
      </w:r>
      <w:r w:rsidR="003A5659">
        <w:rPr>
          <w:color w:val="FF0000"/>
          <w:lang w:val="en-US"/>
        </w:rPr>
        <w:t xml:space="preserve">. This means that the risk of ‘restriction of range’ is </w:t>
      </w:r>
      <w:r w:rsidR="002A75BE">
        <w:rPr>
          <w:color w:val="FF0000"/>
          <w:lang w:val="en-US"/>
        </w:rPr>
        <w:t xml:space="preserve">even </w:t>
      </w:r>
      <w:r w:rsidR="003A5659">
        <w:rPr>
          <w:color w:val="FF0000"/>
          <w:lang w:val="en-US"/>
        </w:rPr>
        <w:t xml:space="preserve">less likely to minimized the chances of finding </w:t>
      </w:r>
      <w:r w:rsidR="002A75BE">
        <w:rPr>
          <w:color w:val="FF0000"/>
          <w:lang w:val="en-US"/>
        </w:rPr>
        <w:t xml:space="preserve">a </w:t>
      </w:r>
      <w:r w:rsidR="003A5659">
        <w:rPr>
          <w:color w:val="FF0000"/>
          <w:lang w:val="en-US"/>
        </w:rPr>
        <w:t>significant association, compared to what it</w:t>
      </w:r>
      <w:r w:rsidR="002A75BE">
        <w:rPr>
          <w:color w:val="FF0000"/>
          <w:lang w:val="en-US"/>
        </w:rPr>
        <w:t xml:space="preserve"> often the case when examining more academically</w:t>
      </w:r>
      <w:r w:rsidR="003A5659">
        <w:rPr>
          <w:color w:val="FF0000"/>
          <w:lang w:val="en-US"/>
        </w:rPr>
        <w:t xml:space="preserve"> ‘elite</w:t>
      </w:r>
      <w:r w:rsidR="002A75BE">
        <w:rPr>
          <w:color w:val="FF0000"/>
          <w:lang w:val="en-US"/>
        </w:rPr>
        <w:t xml:space="preserve">’ students (e.g. </w:t>
      </w:r>
      <w:r w:rsidR="000C72B3">
        <w:rPr>
          <w:color w:val="FF0000"/>
          <w:lang w:val="en-US"/>
        </w:rPr>
        <w:t>medical students</w:t>
      </w:r>
      <w:r w:rsidR="002A75BE">
        <w:rPr>
          <w:color w:val="FF0000"/>
          <w:lang w:val="en-US"/>
        </w:rPr>
        <w:t>)</w:t>
      </w:r>
      <w:r w:rsidR="000C72B3">
        <w:rPr>
          <w:color w:val="FF0000"/>
          <w:lang w:val="en-US"/>
        </w:rPr>
        <w:t>, and that we may</w:t>
      </w:r>
      <w:r w:rsidR="005B254A">
        <w:rPr>
          <w:color w:val="FF0000"/>
          <w:lang w:val="en-US"/>
        </w:rPr>
        <w:t xml:space="preserve"> therefore put</w:t>
      </w:r>
      <w:r w:rsidR="004034F4">
        <w:rPr>
          <w:color w:val="FF0000"/>
          <w:lang w:val="en-US"/>
        </w:rPr>
        <w:t xml:space="preserve"> some</w:t>
      </w:r>
      <w:r w:rsidR="00402E01">
        <w:rPr>
          <w:color w:val="FF0000"/>
          <w:lang w:val="en-US"/>
        </w:rPr>
        <w:t xml:space="preserve"> serious</w:t>
      </w:r>
      <w:r w:rsidR="005B254A">
        <w:rPr>
          <w:color w:val="FF0000"/>
          <w:lang w:val="en-US"/>
        </w:rPr>
        <w:t xml:space="preserve"> trust in the</w:t>
      </w:r>
      <w:r w:rsidR="000C72B3">
        <w:rPr>
          <w:color w:val="FF0000"/>
          <w:lang w:val="en-US"/>
        </w:rPr>
        <w:t xml:space="preserve"> result (no effect of </w:t>
      </w:r>
      <w:proofErr w:type="spellStart"/>
      <w:r w:rsidR="000C72B3">
        <w:rPr>
          <w:color w:val="FF0000"/>
          <w:lang w:val="en-US"/>
        </w:rPr>
        <w:t>pu</w:t>
      </w:r>
      <w:proofErr w:type="spellEnd"/>
      <w:r w:rsidR="000C72B3">
        <w:rPr>
          <w:color w:val="FF0000"/>
          <w:lang w:val="en-US"/>
        </w:rPr>
        <w:t>-GPA</w:t>
      </w:r>
      <w:r w:rsidR="005B254A">
        <w:rPr>
          <w:color w:val="FF0000"/>
          <w:lang w:val="en-US"/>
        </w:rPr>
        <w:t xml:space="preserve"> on dropout</w:t>
      </w:r>
      <w:r w:rsidR="00402E01">
        <w:rPr>
          <w:color w:val="FF0000"/>
          <w:lang w:val="en-US"/>
        </w:rPr>
        <w:t xml:space="preserve"> in year 1 &amp; 2 sports science</w:t>
      </w:r>
      <w:r w:rsidR="000C72B3">
        <w:rPr>
          <w:color w:val="FF0000"/>
          <w:lang w:val="en-US"/>
        </w:rPr>
        <w:t>) for this sample.</w:t>
      </w:r>
      <w:r w:rsidR="00402E01">
        <w:rPr>
          <w:color w:val="FF0000"/>
          <w:lang w:val="en-US"/>
        </w:rPr>
        <w:t xml:space="preserve"> It is perhaps more likely</w:t>
      </w:r>
      <w:r w:rsidR="002A75BE">
        <w:rPr>
          <w:color w:val="FF0000"/>
          <w:lang w:val="en-US"/>
        </w:rPr>
        <w:t xml:space="preserve">, that year 1 and 2 of </w:t>
      </w:r>
      <w:r w:rsidR="006D6A41">
        <w:rPr>
          <w:color w:val="FF0000"/>
          <w:lang w:val="en-US"/>
        </w:rPr>
        <w:t>this</w:t>
      </w:r>
      <w:r w:rsidR="002A75BE">
        <w:rPr>
          <w:color w:val="FF0000"/>
          <w:lang w:val="en-US"/>
        </w:rPr>
        <w:t xml:space="preserve"> sports science curriculum is </w:t>
      </w:r>
      <w:r w:rsidR="00402E01">
        <w:rPr>
          <w:color w:val="FF0000"/>
          <w:lang w:val="en-US"/>
        </w:rPr>
        <w:t xml:space="preserve">just </w:t>
      </w:r>
      <w:r w:rsidR="002A75BE">
        <w:rPr>
          <w:color w:val="FF0000"/>
          <w:lang w:val="en-US"/>
        </w:rPr>
        <w:t>not that demanding academically – but perhaps more demandin</w:t>
      </w:r>
      <w:r w:rsidR="00402E01">
        <w:rPr>
          <w:color w:val="FF0000"/>
          <w:lang w:val="en-US"/>
        </w:rPr>
        <w:t>g of</w:t>
      </w:r>
      <w:r w:rsidR="002A75BE">
        <w:rPr>
          <w:color w:val="FF0000"/>
          <w:lang w:val="en-US"/>
        </w:rPr>
        <w:t xml:space="preserve"> practical sports skills</w:t>
      </w:r>
      <w:r w:rsidR="00402E01">
        <w:rPr>
          <w:color w:val="FF0000"/>
          <w:lang w:val="en-US"/>
        </w:rPr>
        <w:t>, which do constitute</w:t>
      </w:r>
      <w:r w:rsidR="002A75BE">
        <w:rPr>
          <w:color w:val="FF0000"/>
          <w:lang w:val="en-US"/>
        </w:rPr>
        <w:t xml:space="preserve"> an important part of the admission test. </w:t>
      </w:r>
      <w:r w:rsidR="00073023">
        <w:rPr>
          <w:color w:val="FF0000"/>
          <w:lang w:val="en-US"/>
        </w:rPr>
        <w:t xml:space="preserve">We have therefore added the following </w:t>
      </w:r>
      <w:r w:rsidR="00217BDF">
        <w:rPr>
          <w:color w:val="FF0000"/>
          <w:lang w:val="en-US"/>
        </w:rPr>
        <w:t xml:space="preserve">thought </w:t>
      </w:r>
      <w:r w:rsidR="00073023">
        <w:rPr>
          <w:color w:val="FF0000"/>
          <w:lang w:val="en-US"/>
        </w:rPr>
        <w:t>to the discussion of grades:</w:t>
      </w:r>
    </w:p>
    <w:p w:rsidR="001856FB" w:rsidRDefault="00073023" w:rsidP="00F76BC5">
      <w:pPr>
        <w:pStyle w:val="Newparagraph"/>
        <w:spacing w:line="240" w:lineRule="auto"/>
        <w:ind w:firstLine="0"/>
        <w:rPr>
          <w:rFonts w:asciiTheme="minorHAnsi" w:hAnsiTheme="minorHAnsi"/>
          <w:color w:val="FF0000"/>
          <w:sz w:val="22"/>
          <w:szCs w:val="22"/>
          <w:lang w:val="en-US"/>
        </w:rPr>
      </w:pPr>
      <w:r w:rsidRPr="00F76BC5">
        <w:rPr>
          <w:rFonts w:asciiTheme="minorHAnsi" w:hAnsiTheme="minorHAnsi"/>
          <w:color w:val="FF0000"/>
          <w:sz w:val="22"/>
          <w:szCs w:val="22"/>
          <w:lang w:val="en-US"/>
        </w:rPr>
        <w:t>“</w:t>
      </w:r>
      <w:r w:rsidR="00F76BC5" w:rsidRPr="00F76BC5">
        <w:rPr>
          <w:rFonts w:asciiTheme="minorHAnsi" w:hAnsiTheme="minorHAnsi"/>
          <w:color w:val="FF0000"/>
          <w:sz w:val="22"/>
          <w:szCs w:val="22"/>
          <w:lang w:val="en-US"/>
        </w:rPr>
        <w:t>An explanation for the result that prior grades did not predict dropout while program specific admission testing did, could be if year 1 and 2 of the sports science curriculum were less demanding academically, but perhaps more demanding of practical sports skills, which also constitute an important part of the admission test.</w:t>
      </w:r>
      <w:r w:rsidRPr="00F76BC5">
        <w:rPr>
          <w:rFonts w:asciiTheme="minorHAnsi" w:hAnsiTheme="minorHAnsi"/>
          <w:color w:val="FF0000"/>
          <w:sz w:val="22"/>
          <w:szCs w:val="22"/>
          <w:lang w:val="en-US"/>
        </w:rPr>
        <w:t>”</w:t>
      </w:r>
    </w:p>
    <w:p w:rsidR="00F76BC5" w:rsidRPr="00F76BC5" w:rsidRDefault="00F76BC5" w:rsidP="00F76BC5">
      <w:pPr>
        <w:pStyle w:val="Newparagraph"/>
        <w:spacing w:line="240" w:lineRule="auto"/>
        <w:ind w:firstLine="0"/>
        <w:rPr>
          <w:rFonts w:asciiTheme="minorHAnsi" w:hAnsiTheme="minorHAnsi"/>
          <w:color w:val="FF0000"/>
          <w:sz w:val="22"/>
          <w:szCs w:val="22"/>
        </w:rPr>
      </w:pPr>
      <w:bookmarkStart w:id="0" w:name="_GoBack"/>
      <w:bookmarkEnd w:id="0"/>
    </w:p>
    <w:p w:rsidR="00073023" w:rsidRPr="00AC5A1D" w:rsidRDefault="009522E6" w:rsidP="00B1302E">
      <w:pPr>
        <w:rPr>
          <w:color w:val="FF0000"/>
          <w:lang w:val="en-US"/>
        </w:rPr>
      </w:pPr>
      <w:r>
        <w:rPr>
          <w:color w:val="FF0000"/>
          <w:lang w:val="en-US"/>
        </w:rPr>
        <w:t xml:space="preserve">This brings the </w:t>
      </w:r>
      <w:r w:rsidR="00073023">
        <w:rPr>
          <w:color w:val="FF0000"/>
          <w:lang w:val="en-US"/>
        </w:rPr>
        <w:t>word count</w:t>
      </w:r>
      <w:r>
        <w:rPr>
          <w:color w:val="FF0000"/>
          <w:lang w:val="en-US"/>
        </w:rPr>
        <w:t xml:space="preserve"> up to </w:t>
      </w:r>
      <w:r w:rsidR="00DA0C31">
        <w:rPr>
          <w:color w:val="FF0000"/>
          <w:lang w:val="en-US"/>
        </w:rPr>
        <w:t>24,675</w:t>
      </w:r>
      <w:r>
        <w:rPr>
          <w:color w:val="FF0000"/>
          <w:lang w:val="en-US"/>
        </w:rPr>
        <w:t xml:space="preserve"> characters incl. spaces</w:t>
      </w:r>
      <w:r w:rsidR="00073023">
        <w:rPr>
          <w:color w:val="FF0000"/>
          <w:lang w:val="en-US"/>
        </w:rPr>
        <w:t xml:space="preserve"> (excluding the abstract).</w:t>
      </w:r>
    </w:p>
    <w:sectPr w:rsidR="00073023" w:rsidRPr="00AC5A1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2E"/>
    <w:rsid w:val="000167FE"/>
    <w:rsid w:val="0002500C"/>
    <w:rsid w:val="0003111B"/>
    <w:rsid w:val="00041EBB"/>
    <w:rsid w:val="000442AA"/>
    <w:rsid w:val="00070A53"/>
    <w:rsid w:val="000727A5"/>
    <w:rsid w:val="00073023"/>
    <w:rsid w:val="000754AC"/>
    <w:rsid w:val="00075C81"/>
    <w:rsid w:val="000A1BFB"/>
    <w:rsid w:val="000B1040"/>
    <w:rsid w:val="000B3472"/>
    <w:rsid w:val="000B65AB"/>
    <w:rsid w:val="000B713C"/>
    <w:rsid w:val="000C72B3"/>
    <w:rsid w:val="000E2401"/>
    <w:rsid w:val="000F45FC"/>
    <w:rsid w:val="00112D34"/>
    <w:rsid w:val="00137AC4"/>
    <w:rsid w:val="00150663"/>
    <w:rsid w:val="001516C0"/>
    <w:rsid w:val="00171587"/>
    <w:rsid w:val="001815E8"/>
    <w:rsid w:val="001856FB"/>
    <w:rsid w:val="001978BF"/>
    <w:rsid w:val="001E0723"/>
    <w:rsid w:val="00211076"/>
    <w:rsid w:val="002123CF"/>
    <w:rsid w:val="00217BDF"/>
    <w:rsid w:val="00217F82"/>
    <w:rsid w:val="00237E8F"/>
    <w:rsid w:val="00240C88"/>
    <w:rsid w:val="00244CAB"/>
    <w:rsid w:val="00247C0B"/>
    <w:rsid w:val="0027105D"/>
    <w:rsid w:val="002977CC"/>
    <w:rsid w:val="002A3728"/>
    <w:rsid w:val="002A75BE"/>
    <w:rsid w:val="002B49F1"/>
    <w:rsid w:val="002D1DEF"/>
    <w:rsid w:val="002E57C0"/>
    <w:rsid w:val="003124CE"/>
    <w:rsid w:val="003262C4"/>
    <w:rsid w:val="003411E3"/>
    <w:rsid w:val="00366B03"/>
    <w:rsid w:val="00381736"/>
    <w:rsid w:val="00387497"/>
    <w:rsid w:val="003A5659"/>
    <w:rsid w:val="003A682E"/>
    <w:rsid w:val="003D07DB"/>
    <w:rsid w:val="003D63E2"/>
    <w:rsid w:val="003E313A"/>
    <w:rsid w:val="004028C8"/>
    <w:rsid w:val="00402E01"/>
    <w:rsid w:val="004034F4"/>
    <w:rsid w:val="0041046D"/>
    <w:rsid w:val="00435B92"/>
    <w:rsid w:val="0043739F"/>
    <w:rsid w:val="00451786"/>
    <w:rsid w:val="0045728A"/>
    <w:rsid w:val="00464BE3"/>
    <w:rsid w:val="0046609A"/>
    <w:rsid w:val="00467174"/>
    <w:rsid w:val="00475FF6"/>
    <w:rsid w:val="004A2D8C"/>
    <w:rsid w:val="004A6F7B"/>
    <w:rsid w:val="004B3690"/>
    <w:rsid w:val="004B3E76"/>
    <w:rsid w:val="004B54E5"/>
    <w:rsid w:val="004B56BE"/>
    <w:rsid w:val="004C6524"/>
    <w:rsid w:val="004D3B20"/>
    <w:rsid w:val="004E251B"/>
    <w:rsid w:val="004E4295"/>
    <w:rsid w:val="005009A5"/>
    <w:rsid w:val="00520818"/>
    <w:rsid w:val="00523DDB"/>
    <w:rsid w:val="00536A0A"/>
    <w:rsid w:val="00542D3B"/>
    <w:rsid w:val="00543027"/>
    <w:rsid w:val="00547291"/>
    <w:rsid w:val="00575356"/>
    <w:rsid w:val="005820BA"/>
    <w:rsid w:val="00582A43"/>
    <w:rsid w:val="005A1EF6"/>
    <w:rsid w:val="005B1CC0"/>
    <w:rsid w:val="005B254A"/>
    <w:rsid w:val="005F08E8"/>
    <w:rsid w:val="005F3D47"/>
    <w:rsid w:val="00601CC5"/>
    <w:rsid w:val="0061043F"/>
    <w:rsid w:val="006132C5"/>
    <w:rsid w:val="00621F36"/>
    <w:rsid w:val="00625578"/>
    <w:rsid w:val="00642AFA"/>
    <w:rsid w:val="00652E5D"/>
    <w:rsid w:val="00654D4A"/>
    <w:rsid w:val="006579CC"/>
    <w:rsid w:val="00657CFE"/>
    <w:rsid w:val="00660F11"/>
    <w:rsid w:val="00677A8A"/>
    <w:rsid w:val="0069413A"/>
    <w:rsid w:val="006D2040"/>
    <w:rsid w:val="006D47E8"/>
    <w:rsid w:val="006D5F5C"/>
    <w:rsid w:val="006D6A41"/>
    <w:rsid w:val="006E1F94"/>
    <w:rsid w:val="006E4D32"/>
    <w:rsid w:val="006F0B6D"/>
    <w:rsid w:val="006F2649"/>
    <w:rsid w:val="006F7463"/>
    <w:rsid w:val="00702395"/>
    <w:rsid w:val="0071272C"/>
    <w:rsid w:val="0071631D"/>
    <w:rsid w:val="0071788E"/>
    <w:rsid w:val="00721849"/>
    <w:rsid w:val="00734136"/>
    <w:rsid w:val="00743098"/>
    <w:rsid w:val="007437F0"/>
    <w:rsid w:val="007526E9"/>
    <w:rsid w:val="00797842"/>
    <w:rsid w:val="007B4ED8"/>
    <w:rsid w:val="007C4380"/>
    <w:rsid w:val="007C4AF9"/>
    <w:rsid w:val="007D369B"/>
    <w:rsid w:val="007E2581"/>
    <w:rsid w:val="007E2F1E"/>
    <w:rsid w:val="007E5EAE"/>
    <w:rsid w:val="007F3ADE"/>
    <w:rsid w:val="007F4C9B"/>
    <w:rsid w:val="00807183"/>
    <w:rsid w:val="00823A5E"/>
    <w:rsid w:val="008348DA"/>
    <w:rsid w:val="00852F1A"/>
    <w:rsid w:val="008A02D6"/>
    <w:rsid w:val="008A65CE"/>
    <w:rsid w:val="008B7B48"/>
    <w:rsid w:val="008C04AC"/>
    <w:rsid w:val="008C1711"/>
    <w:rsid w:val="008C408E"/>
    <w:rsid w:val="008C66F8"/>
    <w:rsid w:val="008E33C1"/>
    <w:rsid w:val="00901988"/>
    <w:rsid w:val="00912196"/>
    <w:rsid w:val="00926D5D"/>
    <w:rsid w:val="009522E6"/>
    <w:rsid w:val="00953BAA"/>
    <w:rsid w:val="009542D0"/>
    <w:rsid w:val="00971B8C"/>
    <w:rsid w:val="00986FDD"/>
    <w:rsid w:val="00987DB3"/>
    <w:rsid w:val="009C5CF9"/>
    <w:rsid w:val="009D5F98"/>
    <w:rsid w:val="009E5750"/>
    <w:rsid w:val="00A23A49"/>
    <w:rsid w:val="00A74D20"/>
    <w:rsid w:val="00A8115C"/>
    <w:rsid w:val="00AA2BB9"/>
    <w:rsid w:val="00AA63FA"/>
    <w:rsid w:val="00AB6B0F"/>
    <w:rsid w:val="00AC5A1D"/>
    <w:rsid w:val="00AD1005"/>
    <w:rsid w:val="00AE7DDF"/>
    <w:rsid w:val="00AF35AB"/>
    <w:rsid w:val="00B00657"/>
    <w:rsid w:val="00B06457"/>
    <w:rsid w:val="00B1302E"/>
    <w:rsid w:val="00B145B5"/>
    <w:rsid w:val="00B33685"/>
    <w:rsid w:val="00B34429"/>
    <w:rsid w:val="00B44A9D"/>
    <w:rsid w:val="00B46FC9"/>
    <w:rsid w:val="00B60B75"/>
    <w:rsid w:val="00B83355"/>
    <w:rsid w:val="00B86D16"/>
    <w:rsid w:val="00BA75D4"/>
    <w:rsid w:val="00BB16C1"/>
    <w:rsid w:val="00BB23F6"/>
    <w:rsid w:val="00BD6A5E"/>
    <w:rsid w:val="00BE6DDA"/>
    <w:rsid w:val="00C01C8A"/>
    <w:rsid w:val="00C3383B"/>
    <w:rsid w:val="00C408F5"/>
    <w:rsid w:val="00C47560"/>
    <w:rsid w:val="00C526A3"/>
    <w:rsid w:val="00C53543"/>
    <w:rsid w:val="00C53C6B"/>
    <w:rsid w:val="00C577C0"/>
    <w:rsid w:val="00C76F33"/>
    <w:rsid w:val="00C934F9"/>
    <w:rsid w:val="00C96522"/>
    <w:rsid w:val="00CA6CE0"/>
    <w:rsid w:val="00CB04B4"/>
    <w:rsid w:val="00CB2EA0"/>
    <w:rsid w:val="00CB36A4"/>
    <w:rsid w:val="00CB4A7E"/>
    <w:rsid w:val="00CC18B3"/>
    <w:rsid w:val="00CE0912"/>
    <w:rsid w:val="00CE6797"/>
    <w:rsid w:val="00CF271F"/>
    <w:rsid w:val="00D0332B"/>
    <w:rsid w:val="00D14912"/>
    <w:rsid w:val="00D30D76"/>
    <w:rsid w:val="00D601CA"/>
    <w:rsid w:val="00D64325"/>
    <w:rsid w:val="00D67CC5"/>
    <w:rsid w:val="00D74EF9"/>
    <w:rsid w:val="00D76E05"/>
    <w:rsid w:val="00DA0C31"/>
    <w:rsid w:val="00DA5DE6"/>
    <w:rsid w:val="00DB1C04"/>
    <w:rsid w:val="00DB3678"/>
    <w:rsid w:val="00DB40E8"/>
    <w:rsid w:val="00DB4544"/>
    <w:rsid w:val="00DB752D"/>
    <w:rsid w:val="00DD0379"/>
    <w:rsid w:val="00DD1F21"/>
    <w:rsid w:val="00DD4444"/>
    <w:rsid w:val="00DE1744"/>
    <w:rsid w:val="00E00F73"/>
    <w:rsid w:val="00E35A9D"/>
    <w:rsid w:val="00E53557"/>
    <w:rsid w:val="00E601AB"/>
    <w:rsid w:val="00E81D30"/>
    <w:rsid w:val="00E87141"/>
    <w:rsid w:val="00E96BF2"/>
    <w:rsid w:val="00EC3012"/>
    <w:rsid w:val="00ED4F5C"/>
    <w:rsid w:val="00EE7398"/>
    <w:rsid w:val="00EF7900"/>
    <w:rsid w:val="00F07FB9"/>
    <w:rsid w:val="00F252AF"/>
    <w:rsid w:val="00F35BE8"/>
    <w:rsid w:val="00F76BC5"/>
    <w:rsid w:val="00F81354"/>
    <w:rsid w:val="00F83DBF"/>
    <w:rsid w:val="00F90B32"/>
    <w:rsid w:val="00F979A9"/>
    <w:rsid w:val="00FA26A7"/>
    <w:rsid w:val="00FB3308"/>
    <w:rsid w:val="00FC0535"/>
    <w:rsid w:val="00FD31BF"/>
    <w:rsid w:val="00FE34B3"/>
    <w:rsid w:val="00FF5188"/>
    <w:rsid w:val="00FF72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E2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basedOn w:val="Standardskrifttypeiafsnit"/>
    <w:uiPriority w:val="99"/>
    <w:semiHidden/>
    <w:unhideWhenUsed/>
    <w:rsid w:val="00C3383B"/>
    <w:rPr>
      <w:sz w:val="16"/>
      <w:szCs w:val="16"/>
    </w:rPr>
  </w:style>
  <w:style w:type="paragraph" w:styleId="Kommentartekst">
    <w:name w:val="annotation text"/>
    <w:basedOn w:val="Normal"/>
    <w:link w:val="KommentartekstTegn"/>
    <w:uiPriority w:val="99"/>
    <w:semiHidden/>
    <w:unhideWhenUsed/>
    <w:rsid w:val="00C3383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3383B"/>
    <w:rPr>
      <w:sz w:val="20"/>
      <w:szCs w:val="20"/>
    </w:rPr>
  </w:style>
  <w:style w:type="paragraph" w:styleId="Kommentaremne">
    <w:name w:val="annotation subject"/>
    <w:basedOn w:val="Kommentartekst"/>
    <w:next w:val="Kommentartekst"/>
    <w:link w:val="KommentaremneTegn"/>
    <w:uiPriority w:val="99"/>
    <w:semiHidden/>
    <w:unhideWhenUsed/>
    <w:rsid w:val="00C3383B"/>
    <w:rPr>
      <w:b/>
      <w:bCs/>
    </w:rPr>
  </w:style>
  <w:style w:type="character" w:customStyle="1" w:styleId="KommentaremneTegn">
    <w:name w:val="Kommentaremne Tegn"/>
    <w:basedOn w:val="KommentartekstTegn"/>
    <w:link w:val="Kommentaremne"/>
    <w:uiPriority w:val="99"/>
    <w:semiHidden/>
    <w:rsid w:val="00C3383B"/>
    <w:rPr>
      <w:b/>
      <w:bCs/>
      <w:sz w:val="20"/>
      <w:szCs w:val="20"/>
    </w:rPr>
  </w:style>
  <w:style w:type="paragraph" w:styleId="Markeringsbobletekst">
    <w:name w:val="Balloon Text"/>
    <w:basedOn w:val="Normal"/>
    <w:link w:val="MarkeringsbobletekstTegn"/>
    <w:uiPriority w:val="99"/>
    <w:semiHidden/>
    <w:unhideWhenUsed/>
    <w:rsid w:val="00C3383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3383B"/>
    <w:rPr>
      <w:rFonts w:ascii="Tahoma" w:hAnsi="Tahoma" w:cs="Tahoma"/>
      <w:sz w:val="16"/>
      <w:szCs w:val="16"/>
    </w:rPr>
  </w:style>
  <w:style w:type="paragraph" w:customStyle="1" w:styleId="Newparagraph">
    <w:name w:val="New paragraph"/>
    <w:basedOn w:val="Normal"/>
    <w:qFormat/>
    <w:rsid w:val="00F76BC5"/>
    <w:pPr>
      <w:spacing w:after="0" w:line="480" w:lineRule="auto"/>
      <w:ind w:firstLine="72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E2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basedOn w:val="Standardskrifttypeiafsnit"/>
    <w:uiPriority w:val="99"/>
    <w:semiHidden/>
    <w:unhideWhenUsed/>
    <w:rsid w:val="00C3383B"/>
    <w:rPr>
      <w:sz w:val="16"/>
      <w:szCs w:val="16"/>
    </w:rPr>
  </w:style>
  <w:style w:type="paragraph" w:styleId="Kommentartekst">
    <w:name w:val="annotation text"/>
    <w:basedOn w:val="Normal"/>
    <w:link w:val="KommentartekstTegn"/>
    <w:uiPriority w:val="99"/>
    <w:semiHidden/>
    <w:unhideWhenUsed/>
    <w:rsid w:val="00C3383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3383B"/>
    <w:rPr>
      <w:sz w:val="20"/>
      <w:szCs w:val="20"/>
    </w:rPr>
  </w:style>
  <w:style w:type="paragraph" w:styleId="Kommentaremne">
    <w:name w:val="annotation subject"/>
    <w:basedOn w:val="Kommentartekst"/>
    <w:next w:val="Kommentartekst"/>
    <w:link w:val="KommentaremneTegn"/>
    <w:uiPriority w:val="99"/>
    <w:semiHidden/>
    <w:unhideWhenUsed/>
    <w:rsid w:val="00C3383B"/>
    <w:rPr>
      <w:b/>
      <w:bCs/>
    </w:rPr>
  </w:style>
  <w:style w:type="character" w:customStyle="1" w:styleId="KommentaremneTegn">
    <w:name w:val="Kommentaremne Tegn"/>
    <w:basedOn w:val="KommentartekstTegn"/>
    <w:link w:val="Kommentaremne"/>
    <w:uiPriority w:val="99"/>
    <w:semiHidden/>
    <w:rsid w:val="00C3383B"/>
    <w:rPr>
      <w:b/>
      <w:bCs/>
      <w:sz w:val="20"/>
      <w:szCs w:val="20"/>
    </w:rPr>
  </w:style>
  <w:style w:type="paragraph" w:styleId="Markeringsbobletekst">
    <w:name w:val="Balloon Text"/>
    <w:basedOn w:val="Normal"/>
    <w:link w:val="MarkeringsbobletekstTegn"/>
    <w:uiPriority w:val="99"/>
    <w:semiHidden/>
    <w:unhideWhenUsed/>
    <w:rsid w:val="00C3383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3383B"/>
    <w:rPr>
      <w:rFonts w:ascii="Tahoma" w:hAnsi="Tahoma" w:cs="Tahoma"/>
      <w:sz w:val="16"/>
      <w:szCs w:val="16"/>
    </w:rPr>
  </w:style>
  <w:style w:type="paragraph" w:customStyle="1" w:styleId="Newparagraph">
    <w:name w:val="New paragraph"/>
    <w:basedOn w:val="Normal"/>
    <w:qFormat/>
    <w:rsid w:val="00F76BC5"/>
    <w:pPr>
      <w:spacing w:after="0" w:line="480" w:lineRule="auto"/>
      <w:ind w:firstLine="72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4</Pages>
  <Words>1584</Words>
  <Characters>9033</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SUN-IT</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Børsen</dc:creator>
  <cp:lastModifiedBy>Lotte O'Neill</cp:lastModifiedBy>
  <cp:revision>58</cp:revision>
  <dcterms:created xsi:type="dcterms:W3CDTF">2014-03-27T13:28:00Z</dcterms:created>
  <dcterms:modified xsi:type="dcterms:W3CDTF">2014-04-04T08:37:00Z</dcterms:modified>
</cp:coreProperties>
</file>